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6756E" w14:textId="77777777" w:rsidR="00742134" w:rsidRPr="00A37378" w:rsidRDefault="00E958BB" w:rsidP="00742134">
      <w:pPr>
        <w:spacing w:line="276" w:lineRule="auto"/>
        <w:jc w:val="center"/>
        <w:rPr>
          <w:rFonts w:ascii="Sylfaen" w:hAnsi="Sylfaen"/>
          <w:b/>
          <w:szCs w:val="20"/>
        </w:rPr>
      </w:pPr>
      <w:r w:rsidRPr="00A37378">
        <w:rPr>
          <w:rFonts w:ascii="Sylfaen" w:hAnsi="Sylfaen"/>
          <w:b/>
          <w:szCs w:val="20"/>
          <w:lang w:val="ka-GE"/>
        </w:rPr>
        <w:t>ინფორმაცია</w:t>
      </w:r>
    </w:p>
    <w:p w14:paraId="2AB3E26A" w14:textId="77777777" w:rsidR="00742134" w:rsidRPr="00A37378" w:rsidRDefault="00742134" w:rsidP="00A37378">
      <w:pPr>
        <w:jc w:val="center"/>
        <w:rPr>
          <w:rFonts w:ascii="Sylfaen" w:hAnsi="Sylfaen"/>
          <w:b/>
          <w:szCs w:val="20"/>
          <w:lang w:val="ka-GE"/>
        </w:rPr>
      </w:pPr>
      <w:r w:rsidRPr="00CE0B64">
        <w:rPr>
          <w:rFonts w:ascii="Sylfaen" w:hAnsi="Sylfaen"/>
          <w:b/>
          <w:szCs w:val="20"/>
        </w:rPr>
        <w:t>„</w:t>
      </w:r>
      <w:proofErr w:type="spellStart"/>
      <w:proofErr w:type="gramStart"/>
      <w:r w:rsidRPr="00CE0B64">
        <w:rPr>
          <w:rFonts w:ascii="Sylfaen" w:hAnsi="Sylfaen"/>
          <w:b/>
          <w:szCs w:val="20"/>
        </w:rPr>
        <w:t>სახელმწიფო</w:t>
      </w:r>
      <w:proofErr w:type="spellEnd"/>
      <w:proofErr w:type="gramEnd"/>
      <w:r w:rsidRPr="00CE0B64">
        <w:rPr>
          <w:rFonts w:ascii="Sylfaen" w:hAnsi="Sylfaen"/>
          <w:b/>
          <w:szCs w:val="20"/>
        </w:rPr>
        <w:t xml:space="preserve"> </w:t>
      </w:r>
      <w:proofErr w:type="spellStart"/>
      <w:r w:rsidRPr="00CE0B64">
        <w:rPr>
          <w:rFonts w:ascii="Sylfaen" w:hAnsi="Sylfaen"/>
          <w:b/>
          <w:szCs w:val="20"/>
        </w:rPr>
        <w:t>აუდიტის</w:t>
      </w:r>
      <w:proofErr w:type="spellEnd"/>
      <w:r w:rsidRPr="00CE0B64">
        <w:rPr>
          <w:rFonts w:ascii="Sylfaen" w:hAnsi="Sylfaen"/>
          <w:b/>
          <w:szCs w:val="20"/>
        </w:rPr>
        <w:t xml:space="preserve"> </w:t>
      </w:r>
      <w:proofErr w:type="spellStart"/>
      <w:r w:rsidRPr="00CE0B64">
        <w:rPr>
          <w:rFonts w:ascii="Sylfaen" w:hAnsi="Sylfaen"/>
          <w:b/>
          <w:szCs w:val="20"/>
        </w:rPr>
        <w:t>სამსახურის</w:t>
      </w:r>
      <w:proofErr w:type="spellEnd"/>
      <w:r w:rsidRPr="00CE0B64">
        <w:rPr>
          <w:rFonts w:ascii="Sylfaen" w:hAnsi="Sylfaen"/>
          <w:b/>
          <w:szCs w:val="20"/>
        </w:rPr>
        <w:t xml:space="preserve"> </w:t>
      </w:r>
      <w:proofErr w:type="spellStart"/>
      <w:r w:rsidRPr="00CE0B64">
        <w:rPr>
          <w:rFonts w:ascii="Sylfaen" w:hAnsi="Sylfaen"/>
          <w:b/>
          <w:szCs w:val="20"/>
        </w:rPr>
        <w:t>მიერ</w:t>
      </w:r>
      <w:proofErr w:type="spellEnd"/>
      <w:r w:rsidRPr="00CE0B64">
        <w:rPr>
          <w:rFonts w:ascii="Sylfaen" w:hAnsi="Sylfaen"/>
          <w:b/>
          <w:szCs w:val="20"/>
        </w:rPr>
        <w:t xml:space="preserve"> </w:t>
      </w:r>
      <w:proofErr w:type="spellStart"/>
      <w:r w:rsidRPr="00CE0B64">
        <w:rPr>
          <w:rFonts w:ascii="Sylfaen" w:hAnsi="Sylfaen"/>
          <w:b/>
          <w:szCs w:val="20"/>
        </w:rPr>
        <w:t>საქართველოს</w:t>
      </w:r>
      <w:proofErr w:type="spellEnd"/>
      <w:r w:rsidRPr="00CE0B64">
        <w:rPr>
          <w:rFonts w:ascii="Sylfaen" w:hAnsi="Sylfaen"/>
          <w:b/>
          <w:szCs w:val="20"/>
        </w:rPr>
        <w:t xml:space="preserve"> 202</w:t>
      </w:r>
      <w:r w:rsidR="00CE0B64" w:rsidRPr="00CE0B64">
        <w:rPr>
          <w:rFonts w:ascii="Sylfaen" w:hAnsi="Sylfaen"/>
          <w:b/>
          <w:szCs w:val="20"/>
          <w:lang w:val="ka-GE"/>
        </w:rPr>
        <w:t>2</w:t>
      </w:r>
      <w:r w:rsidRPr="00CE0B64">
        <w:rPr>
          <w:rFonts w:ascii="Sylfaen" w:hAnsi="Sylfaen"/>
          <w:b/>
          <w:szCs w:val="20"/>
        </w:rPr>
        <w:t xml:space="preserve"> </w:t>
      </w:r>
      <w:proofErr w:type="spellStart"/>
      <w:r w:rsidRPr="00CE0B64">
        <w:rPr>
          <w:rFonts w:ascii="Sylfaen" w:hAnsi="Sylfaen"/>
          <w:b/>
          <w:szCs w:val="20"/>
        </w:rPr>
        <w:t>წლის</w:t>
      </w:r>
      <w:proofErr w:type="spellEnd"/>
      <w:r w:rsidRPr="00CE0B64">
        <w:rPr>
          <w:rFonts w:ascii="Sylfaen" w:hAnsi="Sylfaen"/>
          <w:b/>
          <w:szCs w:val="20"/>
        </w:rPr>
        <w:t xml:space="preserve"> </w:t>
      </w:r>
      <w:proofErr w:type="spellStart"/>
      <w:r w:rsidRPr="00CE0B64">
        <w:rPr>
          <w:rFonts w:ascii="Sylfaen" w:hAnsi="Sylfaen"/>
          <w:b/>
          <w:szCs w:val="20"/>
        </w:rPr>
        <w:t>სახელმწიფო</w:t>
      </w:r>
      <w:proofErr w:type="spellEnd"/>
      <w:r w:rsidRPr="00CE0B64">
        <w:rPr>
          <w:rFonts w:ascii="Sylfaen" w:hAnsi="Sylfaen"/>
          <w:b/>
          <w:szCs w:val="20"/>
        </w:rPr>
        <w:t xml:space="preserve"> </w:t>
      </w:r>
      <w:proofErr w:type="spellStart"/>
      <w:r w:rsidRPr="00CE0B64">
        <w:rPr>
          <w:rFonts w:ascii="Sylfaen" w:hAnsi="Sylfaen"/>
          <w:b/>
          <w:szCs w:val="20"/>
        </w:rPr>
        <w:t>ბიუჯეტის</w:t>
      </w:r>
      <w:proofErr w:type="spellEnd"/>
      <w:r w:rsidRPr="00CE0B64">
        <w:rPr>
          <w:rFonts w:ascii="Sylfaen" w:hAnsi="Sylfaen"/>
          <w:b/>
          <w:szCs w:val="20"/>
        </w:rPr>
        <w:t xml:space="preserve"> </w:t>
      </w:r>
      <w:proofErr w:type="spellStart"/>
      <w:r w:rsidRPr="00CE0B64">
        <w:rPr>
          <w:rFonts w:ascii="Sylfaen" w:hAnsi="Sylfaen"/>
          <w:b/>
          <w:szCs w:val="20"/>
        </w:rPr>
        <w:t>შესრულების</w:t>
      </w:r>
      <w:proofErr w:type="spellEnd"/>
      <w:r w:rsidRPr="00CE0B64">
        <w:rPr>
          <w:rFonts w:ascii="Sylfaen" w:hAnsi="Sylfaen"/>
          <w:b/>
          <w:szCs w:val="20"/>
        </w:rPr>
        <w:t xml:space="preserve"> </w:t>
      </w:r>
      <w:proofErr w:type="spellStart"/>
      <w:r w:rsidRPr="00CE0B64">
        <w:rPr>
          <w:rFonts w:ascii="Sylfaen" w:hAnsi="Sylfaen"/>
          <w:b/>
          <w:szCs w:val="20"/>
        </w:rPr>
        <w:t>წლიური</w:t>
      </w:r>
      <w:proofErr w:type="spellEnd"/>
      <w:r w:rsidRPr="00CE0B64">
        <w:rPr>
          <w:rFonts w:ascii="Sylfaen" w:hAnsi="Sylfaen"/>
          <w:b/>
          <w:szCs w:val="20"/>
        </w:rPr>
        <w:t xml:space="preserve"> </w:t>
      </w:r>
      <w:proofErr w:type="spellStart"/>
      <w:r w:rsidRPr="00CE0B64">
        <w:rPr>
          <w:rFonts w:ascii="Sylfaen" w:hAnsi="Sylfaen"/>
          <w:b/>
          <w:szCs w:val="20"/>
        </w:rPr>
        <w:t>ანგარიშის</w:t>
      </w:r>
      <w:proofErr w:type="spellEnd"/>
      <w:r w:rsidRPr="00CE0B64">
        <w:rPr>
          <w:rFonts w:ascii="Sylfaen" w:hAnsi="Sylfaen"/>
          <w:b/>
          <w:szCs w:val="20"/>
        </w:rPr>
        <w:t xml:space="preserve"> </w:t>
      </w:r>
      <w:proofErr w:type="spellStart"/>
      <w:r w:rsidRPr="00CE0B64">
        <w:rPr>
          <w:rFonts w:ascii="Sylfaen" w:hAnsi="Sylfaen"/>
          <w:b/>
          <w:szCs w:val="20"/>
        </w:rPr>
        <w:t>შესახებ</w:t>
      </w:r>
      <w:proofErr w:type="spellEnd"/>
      <w:r w:rsidRPr="00CE0B64">
        <w:rPr>
          <w:rFonts w:ascii="Sylfaen" w:hAnsi="Sylfaen"/>
          <w:b/>
          <w:szCs w:val="20"/>
        </w:rPr>
        <w:t xml:space="preserve"> </w:t>
      </w:r>
      <w:proofErr w:type="spellStart"/>
      <w:r w:rsidRPr="00CE0B64">
        <w:rPr>
          <w:rFonts w:ascii="Sylfaen" w:hAnsi="Sylfaen"/>
          <w:b/>
          <w:szCs w:val="20"/>
        </w:rPr>
        <w:t>მომზადებულ</w:t>
      </w:r>
      <w:proofErr w:type="spellEnd"/>
      <w:r w:rsidRPr="00CE0B64">
        <w:rPr>
          <w:rFonts w:ascii="Sylfaen" w:hAnsi="Sylfaen"/>
          <w:b/>
          <w:szCs w:val="20"/>
        </w:rPr>
        <w:t xml:space="preserve"> </w:t>
      </w:r>
      <w:proofErr w:type="spellStart"/>
      <w:r w:rsidRPr="00CE0B64">
        <w:rPr>
          <w:rFonts w:ascii="Sylfaen" w:hAnsi="Sylfaen"/>
          <w:b/>
          <w:szCs w:val="20"/>
        </w:rPr>
        <w:t>მოხსენებაში</w:t>
      </w:r>
      <w:proofErr w:type="spellEnd"/>
      <w:r w:rsidRPr="00CE0B64">
        <w:rPr>
          <w:rFonts w:ascii="Sylfaen" w:hAnsi="Sylfaen"/>
          <w:b/>
          <w:szCs w:val="20"/>
        </w:rPr>
        <w:t xml:space="preserve"> </w:t>
      </w:r>
      <w:proofErr w:type="spellStart"/>
      <w:r w:rsidRPr="00CE0B64">
        <w:rPr>
          <w:rFonts w:ascii="Sylfaen" w:hAnsi="Sylfaen"/>
          <w:b/>
          <w:szCs w:val="20"/>
        </w:rPr>
        <w:t>წარმოდგენილი</w:t>
      </w:r>
      <w:proofErr w:type="spellEnd"/>
      <w:r w:rsidRPr="00CE0B64">
        <w:rPr>
          <w:rFonts w:ascii="Sylfaen" w:hAnsi="Sylfaen"/>
          <w:b/>
          <w:szCs w:val="20"/>
        </w:rPr>
        <w:t xml:space="preserve"> </w:t>
      </w:r>
      <w:proofErr w:type="spellStart"/>
      <w:r w:rsidRPr="00CE0B64">
        <w:rPr>
          <w:rFonts w:ascii="Sylfaen" w:hAnsi="Sylfaen"/>
          <w:b/>
          <w:szCs w:val="20"/>
        </w:rPr>
        <w:t>შენიშვნებისა</w:t>
      </w:r>
      <w:proofErr w:type="spellEnd"/>
      <w:r w:rsidRPr="00CE0B64">
        <w:rPr>
          <w:rFonts w:ascii="Sylfaen" w:hAnsi="Sylfaen"/>
          <w:b/>
          <w:szCs w:val="20"/>
        </w:rPr>
        <w:t xml:space="preserve"> </w:t>
      </w:r>
      <w:proofErr w:type="spellStart"/>
      <w:r w:rsidRPr="00CE0B64">
        <w:rPr>
          <w:rFonts w:ascii="Sylfaen" w:hAnsi="Sylfaen"/>
          <w:b/>
          <w:szCs w:val="20"/>
        </w:rPr>
        <w:t>და</w:t>
      </w:r>
      <w:proofErr w:type="spellEnd"/>
      <w:r w:rsidRPr="00CE0B64">
        <w:rPr>
          <w:rFonts w:ascii="Sylfaen" w:hAnsi="Sylfaen"/>
          <w:b/>
          <w:szCs w:val="20"/>
        </w:rPr>
        <w:t xml:space="preserve"> </w:t>
      </w:r>
      <w:proofErr w:type="spellStart"/>
      <w:r w:rsidRPr="00CE0B64">
        <w:rPr>
          <w:rFonts w:ascii="Sylfaen" w:hAnsi="Sylfaen"/>
          <w:b/>
          <w:szCs w:val="20"/>
        </w:rPr>
        <w:t>რეკომენდაციების</w:t>
      </w:r>
      <w:proofErr w:type="spellEnd"/>
      <w:r w:rsidRPr="00CE0B64">
        <w:rPr>
          <w:rFonts w:ascii="Sylfaen" w:hAnsi="Sylfaen"/>
          <w:b/>
          <w:szCs w:val="20"/>
        </w:rPr>
        <w:t xml:space="preserve"> </w:t>
      </w:r>
      <w:proofErr w:type="spellStart"/>
      <w:r w:rsidRPr="00CE0B64">
        <w:rPr>
          <w:rFonts w:ascii="Sylfaen" w:hAnsi="Sylfaen"/>
          <w:b/>
          <w:szCs w:val="20"/>
        </w:rPr>
        <w:t>საბიუჯეტო</w:t>
      </w:r>
      <w:proofErr w:type="spellEnd"/>
      <w:r w:rsidRPr="00CE0B64">
        <w:rPr>
          <w:rFonts w:ascii="Sylfaen" w:hAnsi="Sylfaen"/>
          <w:b/>
          <w:szCs w:val="20"/>
        </w:rPr>
        <w:t xml:space="preserve"> </w:t>
      </w:r>
      <w:proofErr w:type="spellStart"/>
      <w:r w:rsidRPr="00CE0B64">
        <w:rPr>
          <w:rFonts w:ascii="Sylfaen" w:hAnsi="Sylfaen"/>
          <w:b/>
          <w:szCs w:val="20"/>
        </w:rPr>
        <w:t>პროცესში</w:t>
      </w:r>
      <w:proofErr w:type="spellEnd"/>
      <w:r w:rsidRPr="00CE0B64">
        <w:rPr>
          <w:rFonts w:ascii="Sylfaen" w:hAnsi="Sylfaen"/>
          <w:b/>
          <w:szCs w:val="20"/>
        </w:rPr>
        <w:t xml:space="preserve"> </w:t>
      </w:r>
      <w:proofErr w:type="spellStart"/>
      <w:r w:rsidRPr="00CE0B64">
        <w:rPr>
          <w:rFonts w:ascii="Sylfaen" w:hAnsi="Sylfaen"/>
          <w:b/>
          <w:szCs w:val="20"/>
        </w:rPr>
        <w:t>გათვალისწინების</w:t>
      </w:r>
      <w:proofErr w:type="spellEnd"/>
      <w:r w:rsidRPr="00CE0B64">
        <w:rPr>
          <w:rFonts w:ascii="Sylfaen" w:hAnsi="Sylfaen"/>
          <w:b/>
          <w:szCs w:val="20"/>
        </w:rPr>
        <w:t xml:space="preserve"> </w:t>
      </w:r>
      <w:proofErr w:type="spellStart"/>
      <w:r w:rsidRPr="00CE0B64">
        <w:rPr>
          <w:rFonts w:ascii="Sylfaen" w:hAnsi="Sylfaen"/>
          <w:b/>
          <w:szCs w:val="20"/>
        </w:rPr>
        <w:t>შესაძლებლობის</w:t>
      </w:r>
      <w:proofErr w:type="spellEnd"/>
      <w:r w:rsidRPr="00CE0B64">
        <w:rPr>
          <w:rFonts w:ascii="Sylfaen" w:hAnsi="Sylfaen"/>
          <w:b/>
          <w:szCs w:val="20"/>
        </w:rPr>
        <w:t xml:space="preserve"> </w:t>
      </w:r>
      <w:proofErr w:type="spellStart"/>
      <w:r w:rsidRPr="00CE0B64">
        <w:rPr>
          <w:rFonts w:ascii="Sylfaen" w:hAnsi="Sylfaen"/>
          <w:b/>
          <w:szCs w:val="20"/>
        </w:rPr>
        <w:t>თაობაზე</w:t>
      </w:r>
      <w:proofErr w:type="spellEnd"/>
      <w:r w:rsidR="00CE0B64" w:rsidRPr="00CE0B64">
        <w:rPr>
          <w:rFonts w:ascii="Sylfaen" w:hAnsi="Sylfaen"/>
          <w:b/>
          <w:szCs w:val="20"/>
          <w:lang w:val="ka-GE"/>
        </w:rPr>
        <w:t xml:space="preserve"> </w:t>
      </w:r>
    </w:p>
    <w:p w14:paraId="5201D419" w14:textId="77777777" w:rsidR="002D2744" w:rsidRPr="00742134" w:rsidRDefault="002D2744" w:rsidP="001A09ED">
      <w:pPr>
        <w:spacing w:after="0" w:line="276" w:lineRule="auto"/>
        <w:jc w:val="both"/>
        <w:rPr>
          <w:rFonts w:ascii="Sylfaen" w:hAnsi="Sylfaen"/>
          <w:b/>
          <w:sz w:val="20"/>
          <w:szCs w:val="20"/>
          <w:lang w:val="ka-GE"/>
        </w:rPr>
      </w:pPr>
    </w:p>
    <w:tbl>
      <w:tblPr>
        <w:tblStyle w:val="TableGrid"/>
        <w:tblW w:w="14790" w:type="dxa"/>
        <w:tblInd w:w="-545" w:type="dxa"/>
        <w:tblLayout w:type="fixed"/>
        <w:tblLook w:val="04A0" w:firstRow="1" w:lastRow="0" w:firstColumn="1" w:lastColumn="0" w:noHBand="0" w:noVBand="1"/>
      </w:tblPr>
      <w:tblGrid>
        <w:gridCol w:w="450"/>
        <w:gridCol w:w="3780"/>
        <w:gridCol w:w="1260"/>
        <w:gridCol w:w="1996"/>
        <w:gridCol w:w="2977"/>
        <w:gridCol w:w="4305"/>
        <w:gridCol w:w="22"/>
      </w:tblGrid>
      <w:tr w:rsidR="00F44287" w:rsidRPr="00742134" w14:paraId="46E5F617" w14:textId="77777777" w:rsidTr="007F4518">
        <w:trPr>
          <w:gridAfter w:val="1"/>
          <w:wAfter w:w="22" w:type="dxa"/>
          <w:trHeight w:val="113"/>
          <w:tblHeader/>
        </w:trPr>
        <w:tc>
          <w:tcPr>
            <w:tcW w:w="450" w:type="dxa"/>
            <w:shd w:val="clear" w:color="auto" w:fill="E4D2F2"/>
          </w:tcPr>
          <w:p w14:paraId="2B32A9E3" w14:textId="77777777" w:rsidR="00F44287" w:rsidRPr="00742134" w:rsidRDefault="00F44287" w:rsidP="00450A25">
            <w:pPr>
              <w:jc w:val="center"/>
              <w:rPr>
                <w:rFonts w:ascii="Sylfaen" w:hAnsi="Sylfaen"/>
                <w:b/>
                <w:sz w:val="20"/>
                <w:szCs w:val="20"/>
                <w:lang w:val="ka-GE"/>
              </w:rPr>
            </w:pPr>
          </w:p>
        </w:tc>
        <w:tc>
          <w:tcPr>
            <w:tcW w:w="3780" w:type="dxa"/>
            <w:shd w:val="clear" w:color="auto" w:fill="E4D2F2"/>
            <w:vAlign w:val="center"/>
          </w:tcPr>
          <w:p w14:paraId="51AC2508" w14:textId="77777777"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რეკომენდაცია</w:t>
            </w:r>
          </w:p>
        </w:tc>
        <w:tc>
          <w:tcPr>
            <w:tcW w:w="1260" w:type="dxa"/>
            <w:shd w:val="clear" w:color="auto" w:fill="E4D2F2"/>
            <w:vAlign w:val="center"/>
          </w:tcPr>
          <w:p w14:paraId="54158D41" w14:textId="77777777"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განხორციელების ვადები</w:t>
            </w:r>
          </w:p>
        </w:tc>
        <w:tc>
          <w:tcPr>
            <w:tcW w:w="1996" w:type="dxa"/>
            <w:shd w:val="clear" w:color="auto" w:fill="E4D2F2"/>
            <w:vAlign w:val="center"/>
          </w:tcPr>
          <w:p w14:paraId="59D8DF49" w14:textId="77777777"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პასუხისმგებელი უწყება</w:t>
            </w:r>
          </w:p>
        </w:tc>
        <w:tc>
          <w:tcPr>
            <w:tcW w:w="2977" w:type="dxa"/>
            <w:shd w:val="clear" w:color="auto" w:fill="E4D2F2"/>
            <w:vAlign w:val="center"/>
          </w:tcPr>
          <w:p w14:paraId="6FFAEA34" w14:textId="77777777"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ინდიკატორი</w:t>
            </w:r>
          </w:p>
        </w:tc>
        <w:tc>
          <w:tcPr>
            <w:tcW w:w="4305" w:type="dxa"/>
            <w:shd w:val="clear" w:color="auto" w:fill="E4D2F2"/>
            <w:vAlign w:val="center"/>
          </w:tcPr>
          <w:p w14:paraId="07F7C24F" w14:textId="77777777" w:rsidR="00F44287" w:rsidRPr="00742134" w:rsidRDefault="00F44287" w:rsidP="00450A25">
            <w:pPr>
              <w:jc w:val="center"/>
              <w:rPr>
                <w:rFonts w:ascii="Sylfaen" w:hAnsi="Sylfaen"/>
                <w:b/>
                <w:sz w:val="20"/>
                <w:szCs w:val="20"/>
                <w:lang w:val="ka-GE"/>
              </w:rPr>
            </w:pPr>
            <w:r w:rsidRPr="00742134">
              <w:rPr>
                <w:rFonts w:ascii="Sylfaen" w:hAnsi="Sylfaen"/>
                <w:b/>
                <w:sz w:val="20"/>
                <w:szCs w:val="20"/>
                <w:lang w:val="ka-GE"/>
              </w:rPr>
              <w:t>რეკომენდაციის გათვალისწინების შესაძლებლობა</w:t>
            </w:r>
          </w:p>
        </w:tc>
      </w:tr>
      <w:tr w:rsidR="00F44287" w:rsidRPr="00742134" w14:paraId="0CFA9270" w14:textId="77777777" w:rsidTr="007F4518">
        <w:trPr>
          <w:trHeight w:val="372"/>
        </w:trPr>
        <w:tc>
          <w:tcPr>
            <w:tcW w:w="450" w:type="dxa"/>
          </w:tcPr>
          <w:p w14:paraId="7F1E9C54" w14:textId="77777777" w:rsidR="00F44287" w:rsidRPr="00742134" w:rsidRDefault="00F44287" w:rsidP="00EB5DD6">
            <w:pPr>
              <w:pStyle w:val="Heading2"/>
              <w:outlineLvl w:val="1"/>
              <w:rPr>
                <w:rFonts w:ascii="Sylfaen" w:eastAsiaTheme="minorHAnsi" w:hAnsi="Sylfaen" w:cstheme="minorBidi"/>
                <w:b/>
                <w:color w:val="auto"/>
                <w:sz w:val="20"/>
                <w:szCs w:val="20"/>
                <w:lang w:val="ka-GE"/>
              </w:rPr>
            </w:pPr>
          </w:p>
        </w:tc>
        <w:tc>
          <w:tcPr>
            <w:tcW w:w="14340" w:type="dxa"/>
            <w:gridSpan w:val="6"/>
          </w:tcPr>
          <w:p w14:paraId="546049C3" w14:textId="77777777" w:rsidR="00F44287" w:rsidRPr="00742134" w:rsidRDefault="00F44287" w:rsidP="00EB5DD6">
            <w:pPr>
              <w:pStyle w:val="Heading2"/>
              <w:outlineLvl w:val="1"/>
              <w:rPr>
                <w:rFonts w:ascii="Sylfaen" w:hAnsi="Sylfaen"/>
                <w:color w:val="auto"/>
                <w:sz w:val="20"/>
                <w:szCs w:val="20"/>
              </w:rPr>
            </w:pPr>
            <w:r w:rsidRPr="00742134">
              <w:rPr>
                <w:rFonts w:ascii="Sylfaen" w:eastAsiaTheme="minorHAnsi" w:hAnsi="Sylfaen" w:cstheme="minorBidi"/>
                <w:b/>
                <w:color w:val="auto"/>
                <w:sz w:val="20"/>
                <w:szCs w:val="20"/>
                <w:lang w:val="ka-GE"/>
              </w:rPr>
              <w:t>საქართველოს ფინანსთა სამინისტროს</w:t>
            </w:r>
          </w:p>
        </w:tc>
      </w:tr>
      <w:tr w:rsidR="00F44287" w:rsidRPr="00742134" w14:paraId="38F7D1BF" w14:textId="77777777" w:rsidTr="00643797">
        <w:trPr>
          <w:gridAfter w:val="1"/>
          <w:wAfter w:w="22" w:type="dxa"/>
          <w:trHeight w:val="4002"/>
        </w:trPr>
        <w:tc>
          <w:tcPr>
            <w:tcW w:w="450" w:type="dxa"/>
          </w:tcPr>
          <w:p w14:paraId="03D088F1" w14:textId="77777777" w:rsidR="00F44287" w:rsidRPr="00742134" w:rsidRDefault="00F44287" w:rsidP="00742134">
            <w:pPr>
              <w:jc w:val="both"/>
              <w:rPr>
                <w:rFonts w:ascii="Sylfaen" w:hAnsi="Sylfaen" w:cs="Sylfaen"/>
                <w:sz w:val="20"/>
                <w:szCs w:val="20"/>
                <w:lang w:val="ka-GE"/>
              </w:rPr>
            </w:pPr>
            <w:r>
              <w:rPr>
                <w:rFonts w:ascii="Sylfaen" w:hAnsi="Sylfaen" w:cs="Sylfaen"/>
                <w:sz w:val="20"/>
                <w:szCs w:val="20"/>
                <w:lang w:val="ka-GE"/>
              </w:rPr>
              <w:t>1</w:t>
            </w:r>
          </w:p>
        </w:tc>
        <w:tc>
          <w:tcPr>
            <w:tcW w:w="3780" w:type="dxa"/>
            <w:shd w:val="clear" w:color="auto" w:fill="auto"/>
          </w:tcPr>
          <w:p w14:paraId="72222624" w14:textId="77777777" w:rsidR="00F44287" w:rsidRPr="00742134" w:rsidRDefault="00CE0B64" w:rsidP="00742134">
            <w:pPr>
              <w:jc w:val="both"/>
              <w:rPr>
                <w:rFonts w:ascii="Sylfaen" w:hAnsi="Sylfaen" w:cs="Sylfaen"/>
                <w:sz w:val="20"/>
                <w:szCs w:val="20"/>
                <w:lang w:val="ka-GE"/>
              </w:rPr>
            </w:pPr>
            <w:r w:rsidRPr="00643797">
              <w:rPr>
                <w:rFonts w:ascii="Sylfaen" w:hAnsi="Sylfaen" w:cs="Sylfaen"/>
                <w:sz w:val="20"/>
                <w:szCs w:val="20"/>
                <w:lang w:val="ka-GE"/>
              </w:rPr>
              <w:t>მნიშვნელოვანია, მთავრობის ვალის მდგრადობის უზრუნველსაყოფად, სახელმწიფო საწარმოთა სექტორიზაციის რეფორმის შემდგომ ეტაპზე დარეგულირებულ იქნეს სამთავრობო სექტორს მიკუთვნებული სახელმწიფო საწარმოების მიერ სესხის აღების უფლებამოსილების საკითხი და ამ პროცესში, ფინანსთა სამინისტროს, როგორც მაკოორდინირებელი უწყების ჩართულობა.</w:t>
            </w:r>
            <w:r w:rsidRPr="00CE0B64">
              <w:rPr>
                <w:rFonts w:ascii="Sylfaen" w:hAnsi="Sylfaen" w:cs="Sylfaen"/>
                <w:sz w:val="20"/>
                <w:szCs w:val="20"/>
                <w:lang w:val="ka-GE"/>
              </w:rPr>
              <w:t xml:space="preserve">  </w:t>
            </w:r>
          </w:p>
        </w:tc>
        <w:tc>
          <w:tcPr>
            <w:tcW w:w="1260" w:type="dxa"/>
            <w:vAlign w:val="center"/>
          </w:tcPr>
          <w:p w14:paraId="231E33CF" w14:textId="77777777" w:rsidR="00F44287" w:rsidRPr="00742134" w:rsidRDefault="00F44287" w:rsidP="00742134">
            <w:pPr>
              <w:jc w:val="center"/>
              <w:rPr>
                <w:rFonts w:ascii="Sylfaen" w:hAnsi="Sylfaen"/>
                <w:noProof/>
                <w:sz w:val="20"/>
                <w:szCs w:val="20"/>
                <w:lang w:val="ka-GE"/>
              </w:rPr>
            </w:pPr>
          </w:p>
        </w:tc>
        <w:tc>
          <w:tcPr>
            <w:tcW w:w="1996" w:type="dxa"/>
            <w:vAlign w:val="center"/>
          </w:tcPr>
          <w:p w14:paraId="58B64212" w14:textId="77777777" w:rsidR="00F44287" w:rsidRPr="00742134" w:rsidRDefault="00F44287" w:rsidP="00450A25">
            <w:pPr>
              <w:jc w:val="center"/>
              <w:rPr>
                <w:rFonts w:ascii="Sylfaen" w:hAnsi="Sylfaen"/>
                <w:noProof/>
                <w:sz w:val="20"/>
                <w:szCs w:val="20"/>
                <w:lang w:val="ka-GE"/>
              </w:rPr>
            </w:pPr>
            <w:r w:rsidRPr="00742134">
              <w:rPr>
                <w:rFonts w:ascii="Sylfaen" w:hAnsi="Sylfaen" w:cs="Sylfaen"/>
                <w:sz w:val="20"/>
                <w:szCs w:val="20"/>
                <w:lang w:val="ka-GE"/>
              </w:rPr>
              <w:t>საქართველოს ფინანსთა სამინისტრო</w:t>
            </w:r>
          </w:p>
        </w:tc>
        <w:tc>
          <w:tcPr>
            <w:tcW w:w="2977" w:type="dxa"/>
            <w:vAlign w:val="center"/>
          </w:tcPr>
          <w:p w14:paraId="63119D61" w14:textId="77777777" w:rsidR="00F44287" w:rsidRPr="00742134" w:rsidRDefault="00F44287" w:rsidP="00A37378">
            <w:pPr>
              <w:jc w:val="both"/>
              <w:rPr>
                <w:rFonts w:ascii="Sylfaen" w:hAnsi="Sylfaen"/>
                <w:noProof/>
                <w:sz w:val="20"/>
                <w:szCs w:val="20"/>
                <w:lang w:val="ka-GE"/>
              </w:rPr>
            </w:pPr>
          </w:p>
        </w:tc>
        <w:tc>
          <w:tcPr>
            <w:tcW w:w="4305" w:type="dxa"/>
            <w:vAlign w:val="center"/>
          </w:tcPr>
          <w:p w14:paraId="749CA877" w14:textId="16392BE8" w:rsidR="00F44287" w:rsidRPr="00742134" w:rsidRDefault="005054CB" w:rsidP="0015442A">
            <w:pPr>
              <w:jc w:val="both"/>
              <w:rPr>
                <w:rFonts w:ascii="Sylfaen" w:hAnsi="Sylfaen"/>
                <w:noProof/>
                <w:sz w:val="20"/>
                <w:szCs w:val="20"/>
                <w:lang w:val="ka-GE"/>
              </w:rPr>
            </w:pPr>
            <w:r w:rsidRPr="0015442A">
              <w:rPr>
                <w:rFonts w:ascii="Sylfaen" w:hAnsi="Sylfaen" w:cs="Sylfaen"/>
                <w:sz w:val="20"/>
                <w:szCs w:val="20"/>
                <w:lang w:val="ka-GE"/>
              </w:rPr>
              <w:t xml:space="preserve">2024 წლის განმავლობაში </w:t>
            </w:r>
            <w:r w:rsidR="0015442A" w:rsidRPr="0015442A">
              <w:rPr>
                <w:rFonts w:ascii="Sylfaen" w:hAnsi="Sylfaen" w:cs="Sylfaen"/>
                <w:sz w:val="20"/>
                <w:szCs w:val="20"/>
                <w:lang w:val="ka-GE"/>
              </w:rPr>
              <w:t xml:space="preserve">საქართველოს </w:t>
            </w:r>
            <w:r w:rsidRPr="0015442A">
              <w:rPr>
                <w:rFonts w:ascii="Sylfaen" w:hAnsi="Sylfaen" w:cs="Sylfaen"/>
                <w:sz w:val="20"/>
                <w:szCs w:val="20"/>
                <w:lang w:val="ka-GE"/>
              </w:rPr>
              <w:t>ფინანსთა სამინისტრო შეიმუშავებს კონცეფციას სამთავრობო სექტორ</w:t>
            </w:r>
            <w:r w:rsidR="0015442A">
              <w:rPr>
                <w:rFonts w:ascii="Sylfaen" w:hAnsi="Sylfaen" w:cs="Sylfaen"/>
                <w:sz w:val="20"/>
                <w:szCs w:val="20"/>
                <w:lang w:val="ka-GE"/>
              </w:rPr>
              <w:t>ი</w:t>
            </w:r>
            <w:r w:rsidRPr="0015442A">
              <w:rPr>
                <w:rFonts w:ascii="Sylfaen" w:hAnsi="Sylfaen" w:cs="Sylfaen"/>
                <w:sz w:val="20"/>
                <w:szCs w:val="20"/>
                <w:lang w:val="ka-GE"/>
              </w:rPr>
              <w:t>ს</w:t>
            </w:r>
            <w:r w:rsidR="0015442A">
              <w:rPr>
                <w:rFonts w:ascii="Sylfaen" w:hAnsi="Sylfaen" w:cs="Sylfaen"/>
                <w:sz w:val="20"/>
                <w:szCs w:val="20"/>
                <w:lang w:val="ka-GE"/>
              </w:rPr>
              <w:t>ათვის</w:t>
            </w:r>
            <w:r w:rsidRPr="0015442A">
              <w:rPr>
                <w:rFonts w:ascii="Sylfaen" w:hAnsi="Sylfaen" w:cs="Sylfaen"/>
                <w:sz w:val="20"/>
                <w:szCs w:val="20"/>
                <w:lang w:val="ka-GE"/>
              </w:rPr>
              <w:t xml:space="preserve"> მიკუთვნებული სახელმწიფო საწარმოების მიერ სესხის აღების უფლებამოსილების  საკითხის დარეგულირების</w:t>
            </w:r>
            <w:r w:rsidR="00C6256A" w:rsidRPr="0015442A">
              <w:rPr>
                <w:rFonts w:ascii="Sylfaen" w:hAnsi="Sylfaen" w:cs="Sylfaen"/>
                <w:sz w:val="20"/>
                <w:szCs w:val="20"/>
                <w:lang w:val="ka-GE"/>
              </w:rPr>
              <w:t xml:space="preserve"> მექანიზმის შექმნის მიზნით.</w:t>
            </w:r>
            <w:r w:rsidRPr="0015442A">
              <w:rPr>
                <w:rFonts w:ascii="Sylfaen" w:hAnsi="Sylfaen" w:cs="Sylfaen"/>
                <w:sz w:val="20"/>
                <w:szCs w:val="20"/>
                <w:lang w:val="ka-GE"/>
              </w:rPr>
              <w:t xml:space="preserve"> </w:t>
            </w:r>
            <w:r w:rsidR="00C6256A" w:rsidRPr="0015442A">
              <w:rPr>
                <w:rFonts w:ascii="Sylfaen" w:hAnsi="Sylfaen" w:cs="Sylfaen"/>
                <w:sz w:val="20"/>
                <w:szCs w:val="20"/>
                <w:lang w:val="ka-GE"/>
              </w:rPr>
              <w:t>აღნიშნულის გათვალისწინებით</w:t>
            </w:r>
            <w:r w:rsidR="0015442A">
              <w:rPr>
                <w:rFonts w:ascii="Sylfaen" w:hAnsi="Sylfaen" w:cs="Sylfaen"/>
                <w:sz w:val="20"/>
                <w:szCs w:val="20"/>
                <w:lang w:val="ka-GE"/>
              </w:rPr>
              <w:t>,</w:t>
            </w:r>
            <w:r w:rsidR="00C6256A" w:rsidRPr="0015442A">
              <w:rPr>
                <w:rFonts w:ascii="Sylfaen" w:hAnsi="Sylfaen" w:cs="Sylfaen"/>
                <w:sz w:val="20"/>
                <w:szCs w:val="20"/>
                <w:lang w:val="ka-GE"/>
              </w:rPr>
              <w:t xml:space="preserve"> განისაზღვრება შესრულების</w:t>
            </w:r>
            <w:r w:rsidRPr="0015442A">
              <w:rPr>
                <w:rFonts w:ascii="Sylfaen" w:hAnsi="Sylfaen" w:cs="Sylfaen"/>
                <w:sz w:val="20"/>
                <w:szCs w:val="20"/>
                <w:lang w:val="ka-GE"/>
              </w:rPr>
              <w:t xml:space="preserve"> ინდიკატორებ</w:t>
            </w:r>
            <w:r w:rsidR="00C6256A" w:rsidRPr="0015442A">
              <w:rPr>
                <w:rFonts w:ascii="Sylfaen" w:hAnsi="Sylfaen" w:cs="Sylfaen"/>
                <w:sz w:val="20"/>
                <w:szCs w:val="20"/>
                <w:lang w:val="ka-GE"/>
              </w:rPr>
              <w:t xml:space="preserve">ი </w:t>
            </w:r>
            <w:r w:rsidRPr="0015442A">
              <w:rPr>
                <w:rFonts w:ascii="Sylfaen" w:hAnsi="Sylfaen" w:cs="Sylfaen"/>
                <w:sz w:val="20"/>
                <w:szCs w:val="20"/>
                <w:lang w:val="ka-GE"/>
              </w:rPr>
              <w:t>და კონკრეტულ</w:t>
            </w:r>
            <w:r w:rsidR="00C6256A" w:rsidRPr="0015442A">
              <w:rPr>
                <w:rFonts w:ascii="Sylfaen" w:hAnsi="Sylfaen" w:cs="Sylfaen"/>
                <w:sz w:val="20"/>
                <w:szCs w:val="20"/>
                <w:lang w:val="ka-GE"/>
              </w:rPr>
              <w:t>ი</w:t>
            </w:r>
            <w:r w:rsidRPr="0015442A">
              <w:rPr>
                <w:rFonts w:ascii="Sylfaen" w:hAnsi="Sylfaen" w:cs="Sylfaen"/>
                <w:sz w:val="20"/>
                <w:szCs w:val="20"/>
                <w:lang w:val="ka-GE"/>
              </w:rPr>
              <w:t xml:space="preserve"> ვადებ</w:t>
            </w:r>
            <w:r w:rsidR="00C6256A" w:rsidRPr="0015442A">
              <w:rPr>
                <w:rFonts w:ascii="Sylfaen" w:hAnsi="Sylfaen" w:cs="Sylfaen"/>
                <w:sz w:val="20"/>
                <w:szCs w:val="20"/>
                <w:lang w:val="ka-GE"/>
              </w:rPr>
              <w:t>ი.</w:t>
            </w:r>
            <w:r w:rsidR="00C6256A">
              <w:rPr>
                <w:rFonts w:ascii="Sylfaen" w:hAnsi="Sylfaen" w:cs="Sylfaen"/>
                <w:sz w:val="20"/>
                <w:szCs w:val="20"/>
                <w:lang w:val="ka-GE"/>
              </w:rPr>
              <w:t xml:space="preserve"> </w:t>
            </w:r>
          </w:p>
        </w:tc>
      </w:tr>
      <w:tr w:rsidR="00F44287" w:rsidRPr="00742134" w14:paraId="3FA1F8A9" w14:textId="77777777" w:rsidTr="007F4518">
        <w:trPr>
          <w:gridAfter w:val="1"/>
          <w:wAfter w:w="22" w:type="dxa"/>
          <w:trHeight w:val="113"/>
        </w:trPr>
        <w:tc>
          <w:tcPr>
            <w:tcW w:w="450" w:type="dxa"/>
          </w:tcPr>
          <w:p w14:paraId="16365140" w14:textId="77777777" w:rsidR="00F44287" w:rsidRPr="00F44287" w:rsidRDefault="00F44287" w:rsidP="00DD157F">
            <w:pPr>
              <w:jc w:val="both"/>
              <w:rPr>
                <w:rFonts w:ascii="Sylfaen" w:hAnsi="Sylfaen" w:cs="Sylfaen"/>
                <w:sz w:val="20"/>
                <w:szCs w:val="20"/>
                <w:lang w:val="ka-GE"/>
              </w:rPr>
            </w:pPr>
            <w:r>
              <w:rPr>
                <w:rFonts w:ascii="Sylfaen" w:hAnsi="Sylfaen" w:cs="Sylfaen"/>
                <w:sz w:val="20"/>
                <w:szCs w:val="20"/>
                <w:lang w:val="ka-GE"/>
              </w:rPr>
              <w:t>2</w:t>
            </w:r>
          </w:p>
        </w:tc>
        <w:tc>
          <w:tcPr>
            <w:tcW w:w="3780" w:type="dxa"/>
          </w:tcPr>
          <w:p w14:paraId="3CD7B4F4" w14:textId="77777777" w:rsidR="00F44287" w:rsidRPr="00742134" w:rsidRDefault="00CE0B64" w:rsidP="00DD157F">
            <w:pPr>
              <w:jc w:val="both"/>
              <w:rPr>
                <w:rFonts w:ascii="Sylfaen" w:hAnsi="Sylfaen" w:cs="Sylfaen"/>
                <w:sz w:val="20"/>
                <w:szCs w:val="20"/>
              </w:rPr>
            </w:pPr>
            <w:proofErr w:type="spellStart"/>
            <w:proofErr w:type="gramStart"/>
            <w:r w:rsidRPr="00643797">
              <w:rPr>
                <w:rFonts w:ascii="Sylfaen" w:hAnsi="Sylfaen" w:cs="Sylfaen"/>
                <w:sz w:val="20"/>
                <w:szCs w:val="20"/>
              </w:rPr>
              <w:t>საბიუჯეტო</w:t>
            </w:r>
            <w:proofErr w:type="spellEnd"/>
            <w:proofErr w:type="gramEnd"/>
            <w:r w:rsidRPr="00643797">
              <w:rPr>
                <w:rFonts w:ascii="Sylfaen" w:hAnsi="Sylfaen" w:cs="Sylfaen"/>
                <w:sz w:val="20"/>
                <w:szCs w:val="20"/>
              </w:rPr>
              <w:t xml:space="preserve"> </w:t>
            </w:r>
            <w:proofErr w:type="spellStart"/>
            <w:r w:rsidRPr="00643797">
              <w:rPr>
                <w:rFonts w:ascii="Sylfaen" w:hAnsi="Sylfaen" w:cs="Sylfaen"/>
                <w:sz w:val="20"/>
                <w:szCs w:val="20"/>
              </w:rPr>
              <w:t>რესურსიდან</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გაცემული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სესხების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რეესტრის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სრულფასოვანი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წარმოებისთვის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ფინანსთა</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სამინისტრომ</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შეიმუშაოს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მექანიზმი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რომელიც</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უზრუნველყოფს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სახელმწიფო</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ხაზინის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ინფორმირებულობას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ბიუჯეტიდან</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სესხის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გაცემის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შესახებ</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გადაწყვეტილების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მიღების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თაობაზე</w:t>
            </w:r>
            <w:proofErr w:type="spellEnd"/>
            <w:r w:rsidRPr="00643797">
              <w:rPr>
                <w:rFonts w:ascii="Sylfaen" w:hAnsi="Sylfaen" w:cs="Sylfaen"/>
                <w:sz w:val="20"/>
                <w:szCs w:val="20"/>
              </w:rPr>
              <w:t>.</w:t>
            </w:r>
          </w:p>
        </w:tc>
        <w:tc>
          <w:tcPr>
            <w:tcW w:w="1260" w:type="dxa"/>
            <w:vAlign w:val="center"/>
          </w:tcPr>
          <w:p w14:paraId="3A45D107" w14:textId="77777777" w:rsidR="00F44287" w:rsidRPr="00742134" w:rsidRDefault="00F44287" w:rsidP="00742134">
            <w:pPr>
              <w:jc w:val="center"/>
              <w:rPr>
                <w:rFonts w:ascii="Sylfaen" w:hAnsi="Sylfaen"/>
                <w:sz w:val="20"/>
                <w:szCs w:val="20"/>
                <w:lang w:val="ka-GE"/>
              </w:rPr>
            </w:pPr>
          </w:p>
        </w:tc>
        <w:tc>
          <w:tcPr>
            <w:tcW w:w="1996" w:type="dxa"/>
            <w:vAlign w:val="center"/>
          </w:tcPr>
          <w:p w14:paraId="2370D1F6" w14:textId="77777777" w:rsidR="00F44287" w:rsidRPr="00742134" w:rsidRDefault="00F44287" w:rsidP="00450A25">
            <w:pPr>
              <w:jc w:val="center"/>
              <w:rPr>
                <w:rFonts w:ascii="Sylfaen" w:hAnsi="Sylfaen"/>
                <w:sz w:val="20"/>
                <w:szCs w:val="20"/>
                <w:lang w:val="ka-GE"/>
              </w:rPr>
            </w:pPr>
            <w:r w:rsidRPr="00742134">
              <w:rPr>
                <w:rFonts w:ascii="Sylfaen" w:hAnsi="Sylfaen" w:cs="Sylfaen"/>
                <w:sz w:val="20"/>
                <w:szCs w:val="20"/>
                <w:lang w:val="ka-GE"/>
              </w:rPr>
              <w:t>საქართველოს ფინანსთა სამინისტრო</w:t>
            </w:r>
          </w:p>
        </w:tc>
        <w:tc>
          <w:tcPr>
            <w:tcW w:w="2977" w:type="dxa"/>
            <w:vAlign w:val="center"/>
          </w:tcPr>
          <w:p w14:paraId="3A338ABB" w14:textId="77777777" w:rsidR="00F44287" w:rsidRPr="00742134" w:rsidRDefault="00F44287" w:rsidP="00A37378">
            <w:pPr>
              <w:jc w:val="both"/>
              <w:rPr>
                <w:rFonts w:ascii="Sylfaen" w:hAnsi="Sylfaen"/>
                <w:sz w:val="20"/>
                <w:szCs w:val="20"/>
                <w:lang w:val="ka-GE"/>
              </w:rPr>
            </w:pPr>
          </w:p>
        </w:tc>
        <w:tc>
          <w:tcPr>
            <w:tcW w:w="4305" w:type="dxa"/>
          </w:tcPr>
          <w:p w14:paraId="665E02E5" w14:textId="311EF401" w:rsidR="00F44287" w:rsidRPr="00643797" w:rsidRDefault="007A6A83" w:rsidP="00643797">
            <w:pPr>
              <w:jc w:val="both"/>
              <w:rPr>
                <w:rFonts w:ascii="Sylfaen" w:hAnsi="Sylfaen"/>
                <w:sz w:val="20"/>
                <w:szCs w:val="20"/>
                <w:lang w:val="ka-GE"/>
              </w:rPr>
            </w:pPr>
            <w:r>
              <w:rPr>
                <w:rFonts w:ascii="Sylfaen" w:hAnsi="Sylfaen"/>
                <w:sz w:val="20"/>
                <w:szCs w:val="20"/>
                <w:lang w:val="ka-GE"/>
              </w:rPr>
              <w:t>არსებული მექანიზმებით სახელმწიფო ხაზინა</w:t>
            </w:r>
            <w:r w:rsidR="00122AA0">
              <w:rPr>
                <w:rFonts w:ascii="Sylfaen" w:hAnsi="Sylfaen"/>
                <w:sz w:val="20"/>
                <w:szCs w:val="20"/>
                <w:lang w:val="ka-GE"/>
              </w:rPr>
              <w:t xml:space="preserve"> სრულად იღებს ინფორმაციას საბიუჯეტო ორგანიზაციებიდან გაცემულ სესხებზე.</w:t>
            </w:r>
            <w:r>
              <w:rPr>
                <w:rFonts w:ascii="Sylfaen" w:hAnsi="Sylfaen"/>
                <w:sz w:val="20"/>
                <w:szCs w:val="20"/>
                <w:lang w:val="ka-GE"/>
              </w:rPr>
              <w:t xml:space="preserve"> </w:t>
            </w:r>
          </w:p>
        </w:tc>
      </w:tr>
      <w:tr w:rsidR="00F44287" w:rsidRPr="00742134" w14:paraId="66B99807" w14:textId="77777777" w:rsidTr="007F4518">
        <w:trPr>
          <w:gridAfter w:val="1"/>
          <w:wAfter w:w="22" w:type="dxa"/>
          <w:trHeight w:val="113"/>
        </w:trPr>
        <w:tc>
          <w:tcPr>
            <w:tcW w:w="450" w:type="dxa"/>
          </w:tcPr>
          <w:p w14:paraId="43CD53B2" w14:textId="77777777" w:rsidR="00F44287" w:rsidRPr="00742134" w:rsidRDefault="00D632BD" w:rsidP="00742134">
            <w:pPr>
              <w:jc w:val="both"/>
              <w:rPr>
                <w:rFonts w:ascii="Sylfaen" w:hAnsi="Sylfaen" w:cs="Sylfaen"/>
                <w:sz w:val="20"/>
                <w:szCs w:val="20"/>
              </w:rPr>
            </w:pPr>
            <w:r>
              <w:rPr>
                <w:rFonts w:ascii="Sylfaen" w:hAnsi="Sylfaen" w:cs="Sylfaen"/>
                <w:sz w:val="20"/>
                <w:szCs w:val="20"/>
              </w:rPr>
              <w:t>3</w:t>
            </w:r>
          </w:p>
        </w:tc>
        <w:tc>
          <w:tcPr>
            <w:tcW w:w="3780" w:type="dxa"/>
          </w:tcPr>
          <w:p w14:paraId="3710A782" w14:textId="77777777" w:rsidR="00F44287" w:rsidRPr="00CE0B64" w:rsidRDefault="00CE0B64" w:rsidP="00742134">
            <w:pPr>
              <w:jc w:val="both"/>
              <w:rPr>
                <w:rFonts w:ascii="Sylfaen" w:hAnsi="Sylfaen" w:cs="Sylfaen"/>
                <w:sz w:val="20"/>
                <w:szCs w:val="20"/>
                <w:highlight w:val="yellow"/>
              </w:rPr>
            </w:pPr>
            <w:proofErr w:type="spellStart"/>
            <w:r w:rsidRPr="008F4992">
              <w:rPr>
                <w:rFonts w:ascii="Sylfaen" w:hAnsi="Sylfaen" w:cs="Sylfaen"/>
                <w:sz w:val="20"/>
                <w:szCs w:val="20"/>
              </w:rPr>
              <w:t>მთავრობის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ვალის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მართვის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სტრატეგიაში</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წარმოდგენილი</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მიმართულებების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საბიუჯეტო</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პროცესში</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უკეთ</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ინტეგრირებისთვის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მიზანშეწონილია</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სტრატეგიის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განახლება</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განხორციელდეს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შემდგომი</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წლის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სახელმწიფო</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ბიუჯეტის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კანონის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lastRenderedPageBreak/>
              <w:t>პროექტის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საბოლოო</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ვარიანტის</w:t>
            </w:r>
            <w:proofErr w:type="spellEnd"/>
            <w:r w:rsidRPr="008F4992">
              <w:rPr>
                <w:rFonts w:ascii="Sylfaen" w:hAnsi="Sylfaen" w:cs="Sylfaen"/>
                <w:sz w:val="20"/>
                <w:szCs w:val="20"/>
              </w:rPr>
              <w:t xml:space="preserve"> </w:t>
            </w:r>
            <w:proofErr w:type="spellStart"/>
            <w:r w:rsidRPr="008F4992">
              <w:rPr>
                <w:rFonts w:ascii="Sylfaen" w:hAnsi="Sylfaen" w:cs="Sylfaen"/>
                <w:sz w:val="20"/>
                <w:szCs w:val="20"/>
              </w:rPr>
              <w:t>წარდგენამდე</w:t>
            </w:r>
            <w:proofErr w:type="spellEnd"/>
            <w:r w:rsidRPr="008F4992">
              <w:rPr>
                <w:rFonts w:ascii="Sylfaen" w:hAnsi="Sylfaen" w:cs="Sylfaen"/>
                <w:sz w:val="20"/>
                <w:szCs w:val="20"/>
              </w:rPr>
              <w:t>;</w:t>
            </w:r>
          </w:p>
        </w:tc>
        <w:tc>
          <w:tcPr>
            <w:tcW w:w="1260" w:type="dxa"/>
            <w:vAlign w:val="center"/>
          </w:tcPr>
          <w:p w14:paraId="14F709E2" w14:textId="77777777" w:rsidR="00F44287" w:rsidRPr="00742134" w:rsidRDefault="001627E4" w:rsidP="00742134">
            <w:pPr>
              <w:jc w:val="center"/>
              <w:rPr>
                <w:rFonts w:ascii="Sylfaen" w:hAnsi="Sylfaen"/>
                <w:sz w:val="20"/>
                <w:szCs w:val="20"/>
                <w:lang w:val="ka-GE"/>
              </w:rPr>
            </w:pPr>
            <w:r>
              <w:rPr>
                <w:rFonts w:ascii="Sylfaen" w:hAnsi="Sylfaen"/>
                <w:sz w:val="20"/>
                <w:szCs w:val="20"/>
                <w:lang w:val="ka-GE"/>
              </w:rPr>
              <w:lastRenderedPageBreak/>
              <w:t>2024 წლის განმავლობაში</w:t>
            </w:r>
          </w:p>
        </w:tc>
        <w:tc>
          <w:tcPr>
            <w:tcW w:w="1996" w:type="dxa"/>
            <w:vAlign w:val="center"/>
          </w:tcPr>
          <w:p w14:paraId="6442ECE7" w14:textId="77777777" w:rsidR="00F44287" w:rsidRPr="00742134" w:rsidRDefault="00F44287" w:rsidP="00742134">
            <w:pPr>
              <w:jc w:val="center"/>
              <w:rPr>
                <w:rFonts w:ascii="Sylfaen" w:hAnsi="Sylfaen"/>
                <w:sz w:val="20"/>
                <w:szCs w:val="20"/>
                <w:lang w:val="ka-GE"/>
              </w:rPr>
            </w:pPr>
            <w:r w:rsidRPr="00742134">
              <w:rPr>
                <w:rFonts w:ascii="Sylfaen" w:hAnsi="Sylfaen" w:cs="Sylfaen"/>
                <w:sz w:val="20"/>
                <w:szCs w:val="20"/>
                <w:lang w:val="ka-GE"/>
              </w:rPr>
              <w:t>საქართველოს ფინანსთა სამინისტრო</w:t>
            </w:r>
          </w:p>
        </w:tc>
        <w:tc>
          <w:tcPr>
            <w:tcW w:w="2977" w:type="dxa"/>
          </w:tcPr>
          <w:p w14:paraId="768756E5" w14:textId="65AB9777" w:rsidR="00F44287" w:rsidRPr="00354895" w:rsidRDefault="00597F34" w:rsidP="00354895">
            <w:pPr>
              <w:pStyle w:val="NoSpacing"/>
              <w:jc w:val="both"/>
              <w:rPr>
                <w:rFonts w:ascii="Sylfaen" w:hAnsi="Sylfaen"/>
                <w:sz w:val="20"/>
                <w:szCs w:val="20"/>
                <w:lang w:val="ka-GE"/>
              </w:rPr>
            </w:pPr>
            <w:r>
              <w:rPr>
                <w:rFonts w:ascii="Sylfaen" w:hAnsi="Sylfaen"/>
                <w:color w:val="000000" w:themeColor="text1"/>
                <w:sz w:val="20"/>
                <w:szCs w:val="20"/>
                <w:lang w:val="ka-GE"/>
              </w:rPr>
              <w:t>2025 წლის</w:t>
            </w:r>
            <w:r w:rsidR="00EC2CCD">
              <w:rPr>
                <w:rFonts w:ascii="Sylfaen" w:hAnsi="Sylfaen"/>
                <w:color w:val="000000" w:themeColor="text1"/>
                <w:sz w:val="20"/>
                <w:szCs w:val="20"/>
                <w:lang w:val="ka-GE"/>
              </w:rPr>
              <w:t xml:space="preserve"> სახელმწიფო</w:t>
            </w:r>
            <w:r>
              <w:rPr>
                <w:rFonts w:ascii="Sylfaen" w:hAnsi="Sylfaen"/>
                <w:color w:val="000000" w:themeColor="text1"/>
                <w:sz w:val="20"/>
                <w:szCs w:val="20"/>
                <w:lang w:val="ka-GE"/>
              </w:rPr>
              <w:t xml:space="preserve"> </w:t>
            </w:r>
            <w:r w:rsidRPr="00354895">
              <w:rPr>
                <w:rFonts w:ascii="Sylfaen" w:hAnsi="Sylfaen"/>
                <w:sz w:val="20"/>
                <w:szCs w:val="20"/>
                <w:lang w:val="ka-GE"/>
              </w:rPr>
              <w:t>ბიუჯეტის პროექტ</w:t>
            </w:r>
            <w:r w:rsidR="00EC2CCD" w:rsidRPr="00354895">
              <w:rPr>
                <w:rFonts w:ascii="Sylfaen" w:hAnsi="Sylfaen"/>
                <w:sz w:val="20"/>
                <w:szCs w:val="20"/>
                <w:lang w:val="ka-GE"/>
              </w:rPr>
              <w:t>ზე თანდართულ</w:t>
            </w:r>
            <w:r w:rsidRPr="00354895">
              <w:rPr>
                <w:rFonts w:ascii="Sylfaen" w:hAnsi="Sylfaen"/>
                <w:sz w:val="20"/>
                <w:szCs w:val="20"/>
                <w:lang w:val="ka-GE"/>
              </w:rPr>
              <w:t xml:space="preserve"> </w:t>
            </w:r>
            <w:r w:rsidR="00F35F52">
              <w:rPr>
                <w:rFonts w:ascii="Sylfaen" w:hAnsi="Sylfaen"/>
                <w:sz w:val="20"/>
                <w:szCs w:val="20"/>
                <w:lang w:val="ka-GE"/>
              </w:rPr>
              <w:t>დანართში „</w:t>
            </w:r>
            <w:r w:rsidR="00F35F52" w:rsidRPr="00354895">
              <w:rPr>
                <w:rFonts w:ascii="Sylfaen" w:hAnsi="Sylfaen"/>
                <w:sz w:val="20"/>
                <w:szCs w:val="20"/>
                <w:lang w:val="ka-GE"/>
              </w:rPr>
              <w:t xml:space="preserve">საშუალოვადიანი პროგნოზების შედარება და „ეკონომიკური თავისუფლების შესახებ“ </w:t>
            </w:r>
            <w:r w:rsidR="00F35F52" w:rsidRPr="00354895">
              <w:rPr>
                <w:rFonts w:ascii="Sylfaen" w:hAnsi="Sylfaen"/>
                <w:sz w:val="20"/>
                <w:szCs w:val="20"/>
                <w:lang w:val="ka-GE"/>
              </w:rPr>
              <w:lastRenderedPageBreak/>
              <w:t>საქართველოს ორგანული კანონით განსაზღვრულ ფისკალურ წესებთან შესაბამისობა</w:t>
            </w:r>
            <w:r w:rsidR="00F35F52">
              <w:rPr>
                <w:rFonts w:ascii="Sylfaen" w:hAnsi="Sylfaen"/>
                <w:sz w:val="20"/>
                <w:szCs w:val="20"/>
                <w:lang w:val="ka-GE"/>
              </w:rPr>
              <w:t xml:space="preserve">“ </w:t>
            </w:r>
            <w:r>
              <w:rPr>
                <w:rFonts w:ascii="Sylfaen" w:hAnsi="Sylfaen"/>
                <w:color w:val="000000" w:themeColor="text1"/>
                <w:sz w:val="20"/>
                <w:szCs w:val="20"/>
                <w:lang w:val="ka-GE"/>
              </w:rPr>
              <w:t>ასახული იქნება ინფორმაცია მთავრობის ვალის მართვის მოქმედ სტრატეგიასთან შესაბამისობის შესახებ.</w:t>
            </w:r>
          </w:p>
        </w:tc>
        <w:tc>
          <w:tcPr>
            <w:tcW w:w="4305" w:type="dxa"/>
          </w:tcPr>
          <w:p w14:paraId="411D8E7F" w14:textId="3C5DC2B5" w:rsidR="00597F34" w:rsidRDefault="00597F34" w:rsidP="007F4518">
            <w:pPr>
              <w:tabs>
                <w:tab w:val="left" w:pos="810"/>
              </w:tabs>
              <w:mirrorIndents/>
              <w:jc w:val="both"/>
              <w:rPr>
                <w:rFonts w:ascii="Sylfaen" w:hAnsi="Sylfaen"/>
                <w:color w:val="000000" w:themeColor="text1"/>
                <w:sz w:val="20"/>
                <w:szCs w:val="20"/>
                <w:lang w:val="ka-GE"/>
              </w:rPr>
            </w:pPr>
            <w:r w:rsidRPr="001627E4">
              <w:rPr>
                <w:rFonts w:ascii="Sylfaen" w:hAnsi="Sylfaen"/>
                <w:color w:val="000000" w:themeColor="text1"/>
                <w:sz w:val="20"/>
                <w:szCs w:val="20"/>
                <w:lang w:val="ka-GE"/>
              </w:rPr>
              <w:lastRenderedPageBreak/>
              <w:t xml:space="preserve">მთავრობის ვალის მართვის </w:t>
            </w:r>
            <w:proofErr w:type="spellStart"/>
            <w:r>
              <w:rPr>
                <w:rFonts w:ascii="Sylfaen" w:hAnsi="Sylfaen"/>
                <w:color w:val="000000" w:themeColor="text1"/>
                <w:sz w:val="20"/>
                <w:szCs w:val="20"/>
              </w:rPr>
              <w:t>სტრატეგია</w:t>
            </w:r>
            <w:proofErr w:type="spellEnd"/>
            <w:r>
              <w:rPr>
                <w:rFonts w:ascii="Sylfaen" w:hAnsi="Sylfaen"/>
                <w:color w:val="000000" w:themeColor="text1"/>
                <w:sz w:val="20"/>
                <w:szCs w:val="20"/>
              </w:rPr>
              <w:t xml:space="preserve"> </w:t>
            </w:r>
            <w:proofErr w:type="spellStart"/>
            <w:r>
              <w:rPr>
                <w:rFonts w:ascii="Sylfaen" w:hAnsi="Sylfaen"/>
                <w:color w:val="000000" w:themeColor="text1"/>
                <w:sz w:val="20"/>
                <w:szCs w:val="20"/>
              </w:rPr>
              <w:t>არის</w:t>
            </w:r>
            <w:proofErr w:type="spellEnd"/>
            <w:r>
              <w:rPr>
                <w:rFonts w:ascii="Sylfaen" w:hAnsi="Sylfaen"/>
                <w:color w:val="000000" w:themeColor="text1"/>
                <w:sz w:val="20"/>
                <w:szCs w:val="20"/>
              </w:rPr>
              <w:t xml:space="preserve"> </w:t>
            </w:r>
            <w:proofErr w:type="spellStart"/>
            <w:r>
              <w:rPr>
                <w:rFonts w:ascii="Sylfaen" w:hAnsi="Sylfaen"/>
                <w:color w:val="000000" w:themeColor="text1"/>
                <w:sz w:val="20"/>
                <w:szCs w:val="20"/>
              </w:rPr>
              <w:t>სა</w:t>
            </w:r>
            <w:proofErr w:type="spellEnd"/>
            <w:r>
              <w:rPr>
                <w:rFonts w:ascii="Sylfaen" w:hAnsi="Sylfaen"/>
                <w:color w:val="000000" w:themeColor="text1"/>
                <w:sz w:val="20"/>
                <w:szCs w:val="20"/>
                <w:lang w:val="ka-GE"/>
              </w:rPr>
              <w:t xml:space="preserve">შუალოვადიანი დოკუმენტი, რომელიც ფარავს 4 წლიან პერიოდს. შესაბამისად, </w:t>
            </w:r>
            <w:r w:rsidR="00EC2CCD">
              <w:rPr>
                <w:rFonts w:ascii="Sylfaen" w:hAnsi="Sylfaen"/>
                <w:color w:val="000000" w:themeColor="text1"/>
                <w:sz w:val="20"/>
                <w:szCs w:val="20"/>
                <w:lang w:val="ka-GE"/>
              </w:rPr>
              <w:t xml:space="preserve">სახელმწიფო </w:t>
            </w:r>
            <w:r>
              <w:rPr>
                <w:rFonts w:ascii="Sylfaen" w:hAnsi="Sylfaen"/>
                <w:color w:val="000000" w:themeColor="text1"/>
                <w:sz w:val="20"/>
                <w:szCs w:val="20"/>
                <w:lang w:val="ka-GE"/>
              </w:rPr>
              <w:t>ბიუჯეტის პროექტის შედგენისას უკვე არსებობს მოქმედი სტრატეგია, რომლის პრ</w:t>
            </w:r>
            <w:r w:rsidR="00EC2CCD">
              <w:rPr>
                <w:rFonts w:ascii="Sylfaen" w:hAnsi="Sylfaen"/>
                <w:color w:val="000000" w:themeColor="text1"/>
                <w:sz w:val="20"/>
                <w:szCs w:val="20"/>
                <w:lang w:val="ka-GE"/>
              </w:rPr>
              <w:t>ი</w:t>
            </w:r>
            <w:r>
              <w:rPr>
                <w:rFonts w:ascii="Sylfaen" w:hAnsi="Sylfaen"/>
                <w:color w:val="000000" w:themeColor="text1"/>
                <w:sz w:val="20"/>
                <w:szCs w:val="20"/>
                <w:lang w:val="ka-GE"/>
              </w:rPr>
              <w:t>ნციპები</w:t>
            </w:r>
            <w:r w:rsidR="00EC2CCD">
              <w:rPr>
                <w:rFonts w:ascii="Sylfaen" w:hAnsi="Sylfaen"/>
                <w:color w:val="000000" w:themeColor="text1"/>
                <w:sz w:val="20"/>
                <w:szCs w:val="20"/>
                <w:lang w:val="ka-GE"/>
              </w:rPr>
              <w:t>ს</w:t>
            </w:r>
            <w:r>
              <w:rPr>
                <w:rFonts w:ascii="Sylfaen" w:hAnsi="Sylfaen"/>
                <w:color w:val="000000" w:themeColor="text1"/>
                <w:sz w:val="20"/>
                <w:szCs w:val="20"/>
                <w:lang w:val="ka-GE"/>
              </w:rPr>
              <w:t xml:space="preserve"> </w:t>
            </w:r>
            <w:r>
              <w:rPr>
                <w:rFonts w:ascii="Sylfaen" w:hAnsi="Sylfaen"/>
                <w:color w:val="000000" w:themeColor="text1"/>
                <w:sz w:val="20"/>
                <w:szCs w:val="20"/>
                <w:lang w:val="ka-GE"/>
              </w:rPr>
              <w:lastRenderedPageBreak/>
              <w:t>გათვალისწინება</w:t>
            </w:r>
            <w:r w:rsidR="00EC2CCD">
              <w:rPr>
                <w:rFonts w:ascii="Sylfaen" w:hAnsi="Sylfaen"/>
                <w:color w:val="000000" w:themeColor="text1"/>
                <w:sz w:val="20"/>
                <w:szCs w:val="20"/>
                <w:lang w:val="ka-GE"/>
              </w:rPr>
              <w:t xml:space="preserve"> </w:t>
            </w:r>
            <w:r>
              <w:rPr>
                <w:rFonts w:ascii="Sylfaen" w:hAnsi="Sylfaen"/>
                <w:color w:val="000000" w:themeColor="text1"/>
                <w:sz w:val="20"/>
                <w:szCs w:val="20"/>
                <w:lang w:val="ka-GE"/>
              </w:rPr>
              <w:t xml:space="preserve"> </w:t>
            </w:r>
            <w:r w:rsidR="00EC2CCD">
              <w:rPr>
                <w:rFonts w:ascii="Sylfaen" w:hAnsi="Sylfaen"/>
                <w:color w:val="000000" w:themeColor="text1"/>
                <w:sz w:val="20"/>
                <w:szCs w:val="20"/>
                <w:lang w:val="ka-GE"/>
              </w:rPr>
              <w:t xml:space="preserve">ხდება </w:t>
            </w:r>
            <w:r>
              <w:rPr>
                <w:rFonts w:ascii="Sylfaen" w:hAnsi="Sylfaen"/>
                <w:color w:val="000000" w:themeColor="text1"/>
                <w:sz w:val="20"/>
                <w:szCs w:val="20"/>
                <w:lang w:val="ka-GE"/>
              </w:rPr>
              <w:t xml:space="preserve">პროექტის მომზადებისას. </w:t>
            </w:r>
          </w:p>
          <w:p w14:paraId="12F89D5C" w14:textId="0BEA4C72" w:rsidR="00F44287" w:rsidRPr="00566FCF" w:rsidRDefault="00EC2CCD" w:rsidP="007F4518">
            <w:pPr>
              <w:tabs>
                <w:tab w:val="left" w:pos="810"/>
              </w:tabs>
              <w:mirrorIndents/>
              <w:jc w:val="both"/>
              <w:rPr>
                <w:rFonts w:ascii="Sylfaen" w:hAnsi="Sylfaen"/>
                <w:color w:val="000000" w:themeColor="text1"/>
                <w:sz w:val="20"/>
                <w:szCs w:val="20"/>
                <w:lang w:val="ka-GE"/>
              </w:rPr>
            </w:pPr>
            <w:r>
              <w:rPr>
                <w:rFonts w:ascii="Sylfaen" w:hAnsi="Sylfaen"/>
                <w:color w:val="000000" w:themeColor="text1"/>
                <w:sz w:val="20"/>
                <w:szCs w:val="20"/>
                <w:lang w:val="ka-GE"/>
              </w:rPr>
              <w:t xml:space="preserve">საქართველოს </w:t>
            </w:r>
            <w:r w:rsidR="00597F34">
              <w:rPr>
                <w:rFonts w:ascii="Sylfaen" w:hAnsi="Sylfaen"/>
                <w:color w:val="000000" w:themeColor="text1"/>
                <w:sz w:val="20"/>
                <w:szCs w:val="20"/>
                <w:lang w:val="ka-GE"/>
              </w:rPr>
              <w:t>ფინანსთა სამინისტრო</w:t>
            </w:r>
            <w:r>
              <w:rPr>
                <w:rFonts w:ascii="Sylfaen" w:hAnsi="Sylfaen"/>
                <w:color w:val="000000" w:themeColor="text1"/>
                <w:sz w:val="20"/>
                <w:szCs w:val="20"/>
                <w:lang w:val="ka-GE"/>
              </w:rPr>
              <w:t xml:space="preserve"> ურუნველყოფს</w:t>
            </w:r>
            <w:r w:rsidR="00597F34">
              <w:rPr>
                <w:rFonts w:ascii="Sylfaen" w:hAnsi="Sylfaen"/>
                <w:color w:val="000000" w:themeColor="text1"/>
                <w:sz w:val="20"/>
                <w:szCs w:val="20"/>
                <w:lang w:val="ka-GE"/>
              </w:rPr>
              <w:t xml:space="preserve"> </w:t>
            </w:r>
            <w:r>
              <w:rPr>
                <w:rFonts w:ascii="Sylfaen" w:hAnsi="Sylfaen"/>
                <w:color w:val="000000" w:themeColor="text1"/>
                <w:sz w:val="20"/>
                <w:szCs w:val="20"/>
                <w:lang w:val="ka-GE"/>
              </w:rPr>
              <w:t>მთავრობის ვალის მართვის მოქმედ სტრატეგიასთან</w:t>
            </w:r>
            <w:r w:rsidR="00DE0C86">
              <w:rPr>
                <w:rFonts w:ascii="Sylfaen" w:hAnsi="Sylfaen"/>
                <w:color w:val="000000" w:themeColor="text1"/>
                <w:sz w:val="20"/>
                <w:szCs w:val="20"/>
                <w:lang w:val="ka-GE"/>
              </w:rPr>
              <w:t xml:space="preserve"> დაფინანსების სტრუქტურის</w:t>
            </w:r>
            <w:r>
              <w:rPr>
                <w:rFonts w:ascii="Sylfaen" w:hAnsi="Sylfaen"/>
                <w:color w:val="000000" w:themeColor="text1"/>
                <w:sz w:val="20"/>
                <w:szCs w:val="20"/>
                <w:lang w:val="ka-GE"/>
              </w:rPr>
              <w:t xml:space="preserve"> </w:t>
            </w:r>
            <w:r w:rsidR="00597F34">
              <w:rPr>
                <w:rFonts w:ascii="Sylfaen" w:hAnsi="Sylfaen"/>
                <w:color w:val="000000" w:themeColor="text1"/>
                <w:sz w:val="20"/>
                <w:szCs w:val="20"/>
                <w:lang w:val="ka-GE"/>
              </w:rPr>
              <w:t>შესაბამისობის</w:t>
            </w:r>
            <w:r w:rsidR="00DE0C86">
              <w:rPr>
                <w:rFonts w:ascii="Sylfaen" w:hAnsi="Sylfaen"/>
                <w:color w:val="000000" w:themeColor="text1"/>
                <w:sz w:val="20"/>
                <w:szCs w:val="20"/>
                <w:lang w:val="ka-GE"/>
              </w:rPr>
              <w:t xml:space="preserve"> შესახებ ინფორმაციის, ასევე მნიშვნელოვანი გადახრის შემთხვევაში განმარტებების </w:t>
            </w:r>
            <w:r>
              <w:rPr>
                <w:rFonts w:ascii="Sylfaen" w:hAnsi="Sylfaen"/>
                <w:color w:val="000000" w:themeColor="text1"/>
                <w:sz w:val="20"/>
                <w:szCs w:val="20"/>
                <w:lang w:val="ka-GE"/>
              </w:rPr>
              <w:t xml:space="preserve">ასახვას 2025 წლის სახელმწიფო ბიუჯეტის პროექტზე </w:t>
            </w:r>
            <w:r w:rsidRPr="00354895">
              <w:rPr>
                <w:rFonts w:ascii="Sylfaen" w:hAnsi="Sylfaen"/>
                <w:sz w:val="20"/>
                <w:szCs w:val="20"/>
                <w:lang w:val="ka-GE"/>
              </w:rPr>
              <w:t>თანდართულ</w:t>
            </w:r>
            <w:r w:rsidR="00F35F52">
              <w:rPr>
                <w:rFonts w:ascii="Sylfaen" w:hAnsi="Sylfaen"/>
                <w:sz w:val="20"/>
                <w:szCs w:val="20"/>
                <w:lang w:val="ka-GE"/>
              </w:rPr>
              <w:t xml:space="preserve"> დანართში „</w:t>
            </w:r>
            <w:r w:rsidR="00F35F52" w:rsidRPr="00591E4E">
              <w:rPr>
                <w:rFonts w:ascii="Sylfaen" w:hAnsi="Sylfaen"/>
                <w:sz w:val="20"/>
                <w:szCs w:val="20"/>
                <w:lang w:val="ka-GE"/>
              </w:rPr>
              <w:t>საშუალოვადიანი პროგნოზების შედარება და „ეკონომიკური თავისუფლების შესახებ“ საქართველოს ორგანული კანონით განსაზღვრულ ფისკალურ წესებთან შესაბამისობა</w:t>
            </w:r>
            <w:r w:rsidR="00F35F52">
              <w:rPr>
                <w:rFonts w:ascii="Sylfaen" w:hAnsi="Sylfaen"/>
                <w:sz w:val="20"/>
                <w:szCs w:val="20"/>
                <w:lang w:val="ka-GE"/>
              </w:rPr>
              <w:t>“</w:t>
            </w:r>
            <w:r w:rsidRPr="00354895">
              <w:rPr>
                <w:rFonts w:ascii="Sylfaen" w:hAnsi="Sylfaen"/>
                <w:sz w:val="20"/>
                <w:szCs w:val="20"/>
                <w:lang w:val="ka-GE"/>
              </w:rPr>
              <w:t>. ამასთან,</w:t>
            </w:r>
            <w:r w:rsidR="00597F34" w:rsidRPr="00354895">
              <w:rPr>
                <w:rFonts w:ascii="Sylfaen" w:hAnsi="Sylfaen"/>
                <w:sz w:val="20"/>
                <w:szCs w:val="20"/>
                <w:lang w:val="ka-GE"/>
              </w:rPr>
              <w:t xml:space="preserve">  იმ შემთხვევაში, თუ </w:t>
            </w:r>
            <w:r w:rsidR="00DE0C86" w:rsidRPr="00354895">
              <w:rPr>
                <w:rFonts w:ascii="Sylfaen" w:hAnsi="Sylfaen"/>
                <w:sz w:val="20"/>
                <w:szCs w:val="20"/>
                <w:lang w:val="ka-GE"/>
              </w:rPr>
              <w:t xml:space="preserve">ზემოაღნიშნული </w:t>
            </w:r>
            <w:r w:rsidR="00597F34">
              <w:rPr>
                <w:rFonts w:ascii="Sylfaen" w:hAnsi="Sylfaen"/>
                <w:color w:val="000000" w:themeColor="text1"/>
                <w:sz w:val="20"/>
                <w:szCs w:val="20"/>
                <w:lang w:val="ka-GE"/>
              </w:rPr>
              <w:t xml:space="preserve">გადახრა სტრატეგიული მიზნების ცვლილებით </w:t>
            </w:r>
            <w:r>
              <w:rPr>
                <w:rFonts w:ascii="Sylfaen" w:hAnsi="Sylfaen"/>
                <w:color w:val="000000" w:themeColor="text1"/>
                <w:sz w:val="20"/>
                <w:szCs w:val="20"/>
                <w:lang w:val="ka-GE"/>
              </w:rPr>
              <w:t xml:space="preserve">იქნება </w:t>
            </w:r>
            <w:r w:rsidR="00597F34">
              <w:rPr>
                <w:rFonts w:ascii="Sylfaen" w:hAnsi="Sylfaen"/>
                <w:color w:val="000000" w:themeColor="text1"/>
                <w:sz w:val="20"/>
                <w:szCs w:val="20"/>
                <w:lang w:val="ka-GE"/>
              </w:rPr>
              <w:t xml:space="preserve">გამოწვეული, </w:t>
            </w:r>
            <w:r w:rsidR="00DE0C86">
              <w:rPr>
                <w:rFonts w:ascii="Sylfaen" w:hAnsi="Sylfaen"/>
                <w:color w:val="000000" w:themeColor="text1"/>
                <w:sz w:val="20"/>
                <w:szCs w:val="20"/>
                <w:lang w:val="ka-GE"/>
              </w:rPr>
              <w:t xml:space="preserve">განხორციელდება </w:t>
            </w:r>
            <w:r w:rsidR="00597F34">
              <w:rPr>
                <w:rFonts w:ascii="Sylfaen" w:hAnsi="Sylfaen"/>
                <w:color w:val="000000" w:themeColor="text1"/>
                <w:sz w:val="20"/>
                <w:szCs w:val="20"/>
                <w:lang w:val="ka-GE"/>
              </w:rPr>
              <w:t xml:space="preserve"> სტრატეგიის განახლება.</w:t>
            </w:r>
          </w:p>
        </w:tc>
      </w:tr>
      <w:tr w:rsidR="00F44287" w:rsidRPr="00742134" w14:paraId="78898737" w14:textId="77777777" w:rsidTr="007F4518">
        <w:trPr>
          <w:gridAfter w:val="1"/>
          <w:wAfter w:w="22" w:type="dxa"/>
          <w:trHeight w:val="113"/>
        </w:trPr>
        <w:tc>
          <w:tcPr>
            <w:tcW w:w="450" w:type="dxa"/>
          </w:tcPr>
          <w:p w14:paraId="790A3AED" w14:textId="77777777" w:rsidR="00F44287" w:rsidRPr="00742134" w:rsidRDefault="00D632BD" w:rsidP="00742134">
            <w:pPr>
              <w:jc w:val="both"/>
              <w:rPr>
                <w:rFonts w:ascii="Sylfaen" w:hAnsi="Sylfaen" w:cs="Sylfaen"/>
                <w:sz w:val="20"/>
                <w:szCs w:val="20"/>
              </w:rPr>
            </w:pPr>
            <w:r>
              <w:rPr>
                <w:rFonts w:ascii="Sylfaen" w:hAnsi="Sylfaen" w:cs="Sylfaen"/>
                <w:sz w:val="20"/>
                <w:szCs w:val="20"/>
              </w:rPr>
              <w:lastRenderedPageBreak/>
              <w:t>4</w:t>
            </w:r>
          </w:p>
        </w:tc>
        <w:tc>
          <w:tcPr>
            <w:tcW w:w="3780" w:type="dxa"/>
          </w:tcPr>
          <w:p w14:paraId="18839601" w14:textId="77777777" w:rsidR="00CE0B64" w:rsidRPr="00643797" w:rsidRDefault="00CE0B64" w:rsidP="00CE0B64">
            <w:pPr>
              <w:jc w:val="both"/>
              <w:rPr>
                <w:rFonts w:ascii="Sylfaen" w:hAnsi="Sylfaen" w:cs="Sylfaen"/>
                <w:sz w:val="20"/>
                <w:szCs w:val="20"/>
              </w:rPr>
            </w:pPr>
            <w:proofErr w:type="spellStart"/>
            <w:r w:rsidRPr="00643797">
              <w:rPr>
                <w:rFonts w:ascii="Sylfaen" w:hAnsi="Sylfaen" w:cs="Sylfaen"/>
                <w:sz w:val="20"/>
                <w:szCs w:val="20"/>
              </w:rPr>
              <w:t>მთავრობის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ვალის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მართვის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სტრატეგიის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ხარისხობრივი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გაუმჯობესებისთვის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მიზანშეწონილია</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დოკუმენტის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შემდგომი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განახლების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პროცესში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მხედველობაში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იქნეს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მიღებული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შემდეგი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საკითხები</w:t>
            </w:r>
            <w:proofErr w:type="spellEnd"/>
            <w:r w:rsidRPr="00643797">
              <w:rPr>
                <w:rFonts w:ascii="Sylfaen" w:hAnsi="Sylfaen" w:cs="Sylfaen"/>
                <w:sz w:val="20"/>
                <w:szCs w:val="20"/>
              </w:rPr>
              <w:t xml:space="preserve">: </w:t>
            </w:r>
          </w:p>
          <w:p w14:paraId="0B1E5A3E" w14:textId="77777777" w:rsidR="00CE0B64" w:rsidRPr="00643797" w:rsidRDefault="00CE0B64" w:rsidP="00CE0B64">
            <w:pPr>
              <w:jc w:val="both"/>
              <w:rPr>
                <w:rFonts w:ascii="Sylfaen" w:hAnsi="Sylfaen" w:cs="Sylfaen"/>
                <w:sz w:val="20"/>
                <w:szCs w:val="20"/>
              </w:rPr>
            </w:pPr>
            <w:r w:rsidRPr="00643797">
              <w:rPr>
                <w:rFonts w:ascii="Sylfaen" w:hAnsi="Sylfaen" w:cs="Sylfaen"/>
                <w:sz w:val="20"/>
                <w:szCs w:val="20"/>
              </w:rPr>
              <w:t xml:space="preserve">- </w:t>
            </w:r>
            <w:proofErr w:type="spellStart"/>
            <w:r w:rsidRPr="00643797">
              <w:rPr>
                <w:rFonts w:ascii="Sylfaen" w:hAnsi="Sylfaen" w:cs="Sylfaen"/>
                <w:sz w:val="20"/>
                <w:szCs w:val="20"/>
              </w:rPr>
              <w:t>დოკუმენტში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წარმოდგენილი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მიმართულებები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და</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მიზნობრივი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ნიშნულები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თანხვედრაში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იყოს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დოკუმენტის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არეალსა</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და</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მიზნებთან</w:t>
            </w:r>
            <w:proofErr w:type="spellEnd"/>
            <w:r w:rsidRPr="00643797">
              <w:rPr>
                <w:rFonts w:ascii="Sylfaen" w:hAnsi="Sylfaen" w:cs="Sylfaen"/>
                <w:sz w:val="20"/>
                <w:szCs w:val="20"/>
              </w:rPr>
              <w:t>;</w:t>
            </w:r>
          </w:p>
          <w:p w14:paraId="2678A0A4" w14:textId="3D97CCA8" w:rsidR="00F44287" w:rsidRPr="00DE0C86" w:rsidRDefault="00CE0B64" w:rsidP="00CE0B64">
            <w:pPr>
              <w:jc w:val="both"/>
              <w:rPr>
                <w:rFonts w:ascii="Sylfaen" w:hAnsi="Sylfaen" w:cs="Sylfaen"/>
                <w:sz w:val="20"/>
                <w:szCs w:val="20"/>
                <w:highlight w:val="yellow"/>
                <w:lang w:val="ka-GE"/>
              </w:rPr>
            </w:pPr>
            <w:r w:rsidRPr="00643797">
              <w:rPr>
                <w:rFonts w:ascii="Sylfaen" w:hAnsi="Sylfaen" w:cs="Sylfaen"/>
                <w:sz w:val="20"/>
                <w:szCs w:val="20"/>
              </w:rPr>
              <w:t xml:space="preserve"> - </w:t>
            </w:r>
            <w:proofErr w:type="spellStart"/>
            <w:proofErr w:type="gramStart"/>
            <w:r w:rsidRPr="00643797">
              <w:rPr>
                <w:rFonts w:ascii="Sylfaen" w:hAnsi="Sylfaen" w:cs="Sylfaen"/>
                <w:sz w:val="20"/>
                <w:szCs w:val="20"/>
              </w:rPr>
              <w:t>სტრატეგია</w:t>
            </w:r>
            <w:proofErr w:type="spellEnd"/>
            <w:proofErr w:type="gramEnd"/>
            <w:r w:rsidRPr="00643797">
              <w:rPr>
                <w:rFonts w:ascii="Sylfaen" w:hAnsi="Sylfaen" w:cs="Sylfaen"/>
                <w:sz w:val="20"/>
                <w:szCs w:val="20"/>
              </w:rPr>
              <w:t xml:space="preserve"> </w:t>
            </w:r>
            <w:proofErr w:type="spellStart"/>
            <w:r w:rsidRPr="00643797">
              <w:rPr>
                <w:rFonts w:ascii="Sylfaen" w:hAnsi="Sylfaen" w:cs="Sylfaen"/>
                <w:sz w:val="20"/>
                <w:szCs w:val="20"/>
              </w:rPr>
              <w:t>მოიცავდეს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ვალის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მომსახურების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ხარჯების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შეფასების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ინდიკატორ</w:t>
            </w:r>
            <w:proofErr w:type="spellEnd"/>
            <w:r w:rsidRPr="00643797">
              <w:rPr>
                <w:rFonts w:ascii="Sylfaen" w:hAnsi="Sylfaen" w:cs="Sylfaen"/>
                <w:sz w:val="20"/>
                <w:szCs w:val="20"/>
              </w:rPr>
              <w:t>(</w:t>
            </w:r>
            <w:proofErr w:type="spellStart"/>
            <w:r w:rsidRPr="00643797">
              <w:rPr>
                <w:rFonts w:ascii="Sylfaen" w:hAnsi="Sylfaen" w:cs="Sylfaen"/>
                <w:sz w:val="20"/>
                <w:szCs w:val="20"/>
              </w:rPr>
              <w:t>ებ</w:t>
            </w:r>
            <w:proofErr w:type="spellEnd"/>
            <w:r w:rsidRPr="00643797">
              <w:rPr>
                <w:rFonts w:ascii="Sylfaen" w:hAnsi="Sylfaen" w:cs="Sylfaen"/>
                <w:sz w:val="20"/>
                <w:szCs w:val="20"/>
              </w:rPr>
              <w:t xml:space="preserve">)ს </w:t>
            </w:r>
            <w:proofErr w:type="spellStart"/>
            <w:r w:rsidRPr="00643797">
              <w:rPr>
                <w:rFonts w:ascii="Sylfaen" w:hAnsi="Sylfaen" w:cs="Sylfaen"/>
                <w:sz w:val="20"/>
                <w:szCs w:val="20"/>
              </w:rPr>
              <w:t>და</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სტრატეგიით</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განსაზღვრული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მიზნობრივი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მაჩვენებლების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პოტენციური</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გავლენის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შეფასებას</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ამ</w:t>
            </w:r>
            <w:proofErr w:type="spellEnd"/>
            <w:r w:rsidRPr="00643797">
              <w:rPr>
                <w:rFonts w:ascii="Sylfaen" w:hAnsi="Sylfaen" w:cs="Sylfaen"/>
                <w:sz w:val="20"/>
                <w:szCs w:val="20"/>
              </w:rPr>
              <w:t xml:space="preserve"> </w:t>
            </w:r>
            <w:proofErr w:type="spellStart"/>
            <w:r w:rsidRPr="00643797">
              <w:rPr>
                <w:rFonts w:ascii="Sylfaen" w:hAnsi="Sylfaen" w:cs="Sylfaen"/>
                <w:sz w:val="20"/>
                <w:szCs w:val="20"/>
              </w:rPr>
              <w:t>ინდიკატორ</w:t>
            </w:r>
            <w:proofErr w:type="spellEnd"/>
            <w:r w:rsidRPr="00643797">
              <w:rPr>
                <w:rFonts w:ascii="Sylfaen" w:hAnsi="Sylfaen" w:cs="Sylfaen"/>
                <w:sz w:val="20"/>
                <w:szCs w:val="20"/>
              </w:rPr>
              <w:t>(</w:t>
            </w:r>
            <w:proofErr w:type="spellStart"/>
            <w:r w:rsidRPr="00643797">
              <w:rPr>
                <w:rFonts w:ascii="Sylfaen" w:hAnsi="Sylfaen" w:cs="Sylfaen"/>
                <w:sz w:val="20"/>
                <w:szCs w:val="20"/>
              </w:rPr>
              <w:t>ებ</w:t>
            </w:r>
            <w:proofErr w:type="spellEnd"/>
            <w:r w:rsidRPr="00643797">
              <w:rPr>
                <w:rFonts w:ascii="Sylfaen" w:hAnsi="Sylfaen" w:cs="Sylfaen"/>
                <w:sz w:val="20"/>
                <w:szCs w:val="20"/>
              </w:rPr>
              <w:t>)</w:t>
            </w:r>
            <w:proofErr w:type="spellStart"/>
            <w:r w:rsidRPr="00643797">
              <w:rPr>
                <w:rFonts w:ascii="Sylfaen" w:hAnsi="Sylfaen" w:cs="Sylfaen"/>
                <w:sz w:val="20"/>
                <w:szCs w:val="20"/>
              </w:rPr>
              <w:t>ზე</w:t>
            </w:r>
            <w:proofErr w:type="spellEnd"/>
            <w:r w:rsidR="00DE0C86" w:rsidRPr="00643797">
              <w:rPr>
                <w:rFonts w:ascii="Sylfaen" w:hAnsi="Sylfaen" w:cs="Sylfaen"/>
                <w:sz w:val="20"/>
                <w:szCs w:val="20"/>
                <w:lang w:val="ka-GE"/>
              </w:rPr>
              <w:t>.</w:t>
            </w:r>
          </w:p>
        </w:tc>
        <w:tc>
          <w:tcPr>
            <w:tcW w:w="1260" w:type="dxa"/>
            <w:vAlign w:val="center"/>
          </w:tcPr>
          <w:p w14:paraId="7CB77C2E" w14:textId="77777777" w:rsidR="00F44287" w:rsidRPr="00742134" w:rsidRDefault="001627E4" w:rsidP="00742134">
            <w:pPr>
              <w:jc w:val="center"/>
              <w:rPr>
                <w:rFonts w:ascii="Sylfaen" w:hAnsi="Sylfaen"/>
                <w:sz w:val="20"/>
                <w:szCs w:val="20"/>
                <w:lang w:val="ka-GE"/>
              </w:rPr>
            </w:pPr>
            <w:r>
              <w:rPr>
                <w:rFonts w:ascii="Sylfaen" w:hAnsi="Sylfaen"/>
                <w:sz w:val="20"/>
                <w:szCs w:val="20"/>
                <w:lang w:val="ka-GE"/>
              </w:rPr>
              <w:t>2024 წლის განმავლობაში</w:t>
            </w:r>
          </w:p>
        </w:tc>
        <w:tc>
          <w:tcPr>
            <w:tcW w:w="1996" w:type="dxa"/>
            <w:vAlign w:val="center"/>
          </w:tcPr>
          <w:p w14:paraId="2623F14A" w14:textId="77777777" w:rsidR="00F44287" w:rsidRPr="00742134" w:rsidRDefault="00F44287" w:rsidP="00742134">
            <w:pPr>
              <w:jc w:val="center"/>
              <w:rPr>
                <w:rFonts w:ascii="Sylfaen" w:hAnsi="Sylfaen"/>
                <w:sz w:val="20"/>
                <w:szCs w:val="20"/>
                <w:lang w:val="ka-GE"/>
              </w:rPr>
            </w:pPr>
            <w:r w:rsidRPr="00742134">
              <w:rPr>
                <w:rFonts w:ascii="Sylfaen" w:hAnsi="Sylfaen" w:cs="Sylfaen"/>
                <w:sz w:val="20"/>
                <w:szCs w:val="20"/>
                <w:lang w:val="ka-GE"/>
              </w:rPr>
              <w:t>საქართველოს ფინანსთა სამინისტრო</w:t>
            </w:r>
          </w:p>
        </w:tc>
        <w:tc>
          <w:tcPr>
            <w:tcW w:w="2977" w:type="dxa"/>
            <w:vAlign w:val="center"/>
          </w:tcPr>
          <w:p w14:paraId="4BEC7208" w14:textId="78F646FF" w:rsidR="00F44287" w:rsidRPr="00DE0C86" w:rsidRDefault="001627E4" w:rsidP="00DE0C86">
            <w:pPr>
              <w:jc w:val="both"/>
              <w:rPr>
                <w:rFonts w:ascii="Sylfaen" w:hAnsi="Sylfaen"/>
                <w:sz w:val="20"/>
                <w:szCs w:val="20"/>
                <w:lang w:val="ka-GE"/>
              </w:rPr>
            </w:pPr>
            <w:r w:rsidRPr="00DE0C86">
              <w:rPr>
                <w:rFonts w:ascii="Sylfaen" w:hAnsi="Sylfaen"/>
                <w:sz w:val="20"/>
                <w:szCs w:val="20"/>
                <w:lang w:val="ka-GE"/>
              </w:rPr>
              <w:t>მ</w:t>
            </w:r>
            <w:bookmarkStart w:id="0" w:name="_GoBack"/>
            <w:bookmarkEnd w:id="0"/>
            <w:r w:rsidRPr="00DE0C86">
              <w:rPr>
                <w:rFonts w:ascii="Sylfaen" w:hAnsi="Sylfaen"/>
                <w:sz w:val="20"/>
                <w:szCs w:val="20"/>
                <w:lang w:val="ka-GE"/>
              </w:rPr>
              <w:t xml:space="preserve">თავრობის ვალის მართვის სტრატეგიაში </w:t>
            </w:r>
            <w:r w:rsidR="00DE0C86">
              <w:rPr>
                <w:rFonts w:ascii="Sylfaen" w:hAnsi="Sylfaen"/>
                <w:sz w:val="20"/>
                <w:szCs w:val="20"/>
                <w:lang w:val="ka-GE"/>
              </w:rPr>
              <w:t xml:space="preserve">ვალის მოცულობის </w:t>
            </w:r>
            <w:r w:rsidRPr="00DE0C86">
              <w:rPr>
                <w:rFonts w:ascii="Sylfaen" w:hAnsi="Sylfaen"/>
                <w:sz w:val="20"/>
                <w:szCs w:val="20"/>
                <w:lang w:val="ka-GE"/>
              </w:rPr>
              <w:t>უსაფრთხო დონის განსაზღვრისას</w:t>
            </w:r>
            <w:r w:rsidR="00DE0C86">
              <w:rPr>
                <w:rFonts w:ascii="Sylfaen" w:hAnsi="Sylfaen"/>
                <w:sz w:val="20"/>
                <w:szCs w:val="20"/>
                <w:lang w:val="ka-GE"/>
              </w:rPr>
              <w:t>,</w:t>
            </w:r>
            <w:r w:rsidRPr="00DE0C86">
              <w:rPr>
                <w:rFonts w:ascii="Sylfaen" w:hAnsi="Sylfaen"/>
                <w:sz w:val="20"/>
                <w:szCs w:val="20"/>
                <w:lang w:val="ka-GE"/>
              </w:rPr>
              <w:t xml:space="preserve"> მთავრობის ვალის მ</w:t>
            </w:r>
            <w:r w:rsidR="00DE0C86" w:rsidRPr="00DE0C86">
              <w:rPr>
                <w:rFonts w:ascii="Sylfaen" w:hAnsi="Sylfaen"/>
                <w:sz w:val="20"/>
                <w:szCs w:val="20"/>
                <w:lang w:val="ka-GE"/>
              </w:rPr>
              <w:t>ა</w:t>
            </w:r>
            <w:r w:rsidRPr="00DE0C86">
              <w:rPr>
                <w:rFonts w:ascii="Sylfaen" w:hAnsi="Sylfaen"/>
                <w:sz w:val="20"/>
                <w:szCs w:val="20"/>
                <w:lang w:val="ka-GE"/>
              </w:rPr>
              <w:t xml:space="preserve">ჩვენებელში გათვალისწინებულია </w:t>
            </w:r>
            <w:r w:rsidRPr="00DE0C86">
              <w:rPr>
                <w:rFonts w:ascii="Sylfaen" w:hAnsi="Sylfaen"/>
                <w:sz w:val="20"/>
                <w:szCs w:val="20"/>
              </w:rPr>
              <w:t xml:space="preserve">PPP </w:t>
            </w:r>
            <w:r w:rsidRPr="00DE0C86">
              <w:rPr>
                <w:rFonts w:ascii="Sylfaen" w:hAnsi="Sylfaen"/>
                <w:sz w:val="20"/>
                <w:szCs w:val="20"/>
                <w:lang w:val="ka-GE"/>
              </w:rPr>
              <w:t>ვალდებულებები</w:t>
            </w:r>
            <w:r w:rsidR="00DE0C86" w:rsidRPr="00DE0C86">
              <w:rPr>
                <w:rFonts w:ascii="Sylfaen" w:hAnsi="Sylfaen"/>
                <w:sz w:val="20"/>
                <w:szCs w:val="20"/>
                <w:lang w:val="ka-GE"/>
              </w:rPr>
              <w:t>.</w:t>
            </w:r>
            <w:r w:rsidRPr="00DE0C86">
              <w:rPr>
                <w:rFonts w:ascii="Sylfaen" w:hAnsi="Sylfaen"/>
                <w:sz w:val="20"/>
                <w:szCs w:val="20"/>
                <w:lang w:val="ka-GE"/>
              </w:rPr>
              <w:t xml:space="preserve"> </w:t>
            </w:r>
          </w:p>
          <w:p w14:paraId="48DF880E" w14:textId="77777777" w:rsidR="007F4518" w:rsidRDefault="007F4518" w:rsidP="007F4518">
            <w:pPr>
              <w:jc w:val="both"/>
              <w:rPr>
                <w:rFonts w:ascii="Sylfaen" w:hAnsi="Sylfaen"/>
                <w:sz w:val="20"/>
                <w:szCs w:val="20"/>
                <w:lang w:val="ka-GE"/>
              </w:rPr>
            </w:pPr>
          </w:p>
          <w:p w14:paraId="4273512F" w14:textId="77777777" w:rsidR="001627E4" w:rsidRPr="001627E4" w:rsidRDefault="001627E4" w:rsidP="007F4518">
            <w:pPr>
              <w:pStyle w:val="ListParagraph"/>
              <w:spacing w:after="0" w:line="240" w:lineRule="auto"/>
              <w:ind w:left="405"/>
              <w:jc w:val="both"/>
              <w:rPr>
                <w:rFonts w:ascii="Sylfaen" w:hAnsi="Sylfaen"/>
                <w:sz w:val="20"/>
                <w:szCs w:val="20"/>
                <w:highlight w:val="yellow"/>
                <w:lang w:val="ka-GE"/>
              </w:rPr>
            </w:pPr>
          </w:p>
        </w:tc>
        <w:tc>
          <w:tcPr>
            <w:tcW w:w="4305" w:type="dxa"/>
            <w:vAlign w:val="center"/>
          </w:tcPr>
          <w:p w14:paraId="5CFE5895" w14:textId="77777777" w:rsidR="00F44287" w:rsidRPr="00354895" w:rsidRDefault="00764B24" w:rsidP="00354895">
            <w:pPr>
              <w:jc w:val="both"/>
              <w:rPr>
                <w:rFonts w:ascii="Sylfaen" w:hAnsi="Sylfaen"/>
                <w:sz w:val="20"/>
                <w:szCs w:val="20"/>
                <w:lang w:val="ka-GE"/>
              </w:rPr>
            </w:pPr>
            <w:r w:rsidRPr="00354895">
              <w:rPr>
                <w:rFonts w:ascii="Sylfaen" w:hAnsi="Sylfaen"/>
                <w:sz w:val="20"/>
                <w:szCs w:val="20"/>
                <w:lang w:val="ka-GE"/>
              </w:rPr>
              <w:t>2024-2027 წლების მთავრობის ვალის მართვის სტრატეგიაში წარმოდგენილი მიმართულებები და მიზნობრივი ნიშნულები თანხვედრაში იქნება დოკუმენტის არეალსა და მიზნებთან;</w:t>
            </w:r>
          </w:p>
          <w:p w14:paraId="2499242C" w14:textId="77777777" w:rsidR="00764B24" w:rsidRDefault="00764B24" w:rsidP="00764B24">
            <w:pPr>
              <w:jc w:val="both"/>
              <w:rPr>
                <w:rFonts w:ascii="Sylfaen" w:hAnsi="Sylfaen"/>
                <w:sz w:val="20"/>
                <w:szCs w:val="20"/>
                <w:lang w:val="ka-GE"/>
              </w:rPr>
            </w:pPr>
          </w:p>
          <w:p w14:paraId="220D6FDF" w14:textId="56990D71" w:rsidR="00764B24" w:rsidRPr="00354895" w:rsidRDefault="00764B24" w:rsidP="00354895">
            <w:pPr>
              <w:jc w:val="both"/>
              <w:rPr>
                <w:rFonts w:ascii="Sylfaen" w:hAnsi="Sylfaen"/>
                <w:sz w:val="20"/>
                <w:szCs w:val="20"/>
                <w:lang w:val="ka-GE"/>
              </w:rPr>
            </w:pPr>
            <w:r w:rsidRPr="00354895">
              <w:rPr>
                <w:rFonts w:ascii="Sylfaen" w:hAnsi="Sylfaen"/>
                <w:sz w:val="20"/>
                <w:szCs w:val="20"/>
                <w:lang w:val="ka-GE"/>
              </w:rPr>
              <w:t xml:space="preserve">ამ ეტაპზე მიმდინარეობს მუშაობა </w:t>
            </w:r>
            <w:proofErr w:type="spellStart"/>
            <w:r w:rsidR="0015442A" w:rsidRPr="00354895">
              <w:rPr>
                <w:rFonts w:ascii="Sylfaen" w:hAnsi="Sylfaen" w:cs="Sylfaen"/>
                <w:sz w:val="20"/>
                <w:szCs w:val="20"/>
              </w:rPr>
              <w:t>ვალის</w:t>
            </w:r>
            <w:proofErr w:type="spellEnd"/>
            <w:r w:rsidR="0015442A" w:rsidRPr="00354895">
              <w:rPr>
                <w:rFonts w:ascii="Sylfaen" w:hAnsi="Sylfaen" w:cs="Sylfaen"/>
                <w:sz w:val="20"/>
                <w:szCs w:val="20"/>
              </w:rPr>
              <w:t xml:space="preserve"> </w:t>
            </w:r>
            <w:proofErr w:type="spellStart"/>
            <w:r w:rsidR="0015442A" w:rsidRPr="00354895">
              <w:rPr>
                <w:rFonts w:ascii="Sylfaen" w:hAnsi="Sylfaen" w:cs="Sylfaen"/>
                <w:sz w:val="20"/>
                <w:szCs w:val="20"/>
              </w:rPr>
              <w:t>მომსახურების</w:t>
            </w:r>
            <w:proofErr w:type="spellEnd"/>
            <w:r w:rsidR="0015442A" w:rsidRPr="0015442A">
              <w:rPr>
                <w:rFonts w:ascii="Sylfaen" w:hAnsi="Sylfaen" w:cs="Sylfaen"/>
                <w:sz w:val="20"/>
                <w:szCs w:val="20"/>
                <w:lang w:val="ka-GE"/>
              </w:rPr>
              <w:t xml:space="preserve"> </w:t>
            </w:r>
            <w:r w:rsidRPr="00354895">
              <w:rPr>
                <w:rFonts w:ascii="Sylfaen" w:hAnsi="Sylfaen"/>
                <w:sz w:val="20"/>
                <w:szCs w:val="20"/>
                <w:lang w:val="ka-GE"/>
              </w:rPr>
              <w:t>ხარჯ</w:t>
            </w:r>
            <w:r w:rsidR="00DE0C86" w:rsidRPr="00354895">
              <w:rPr>
                <w:rFonts w:ascii="Sylfaen" w:hAnsi="Sylfaen"/>
                <w:sz w:val="20"/>
                <w:szCs w:val="20"/>
                <w:lang w:val="ka-GE"/>
              </w:rPr>
              <w:t>ებ</w:t>
            </w:r>
            <w:r w:rsidRPr="00354895">
              <w:rPr>
                <w:rFonts w:ascii="Sylfaen" w:hAnsi="Sylfaen"/>
                <w:sz w:val="20"/>
                <w:szCs w:val="20"/>
                <w:lang w:val="ka-GE"/>
              </w:rPr>
              <w:t xml:space="preserve">ისა და რისკების </w:t>
            </w:r>
            <w:r w:rsidR="001627E4" w:rsidRPr="00354895">
              <w:rPr>
                <w:rFonts w:ascii="Sylfaen" w:hAnsi="Sylfaen"/>
                <w:sz w:val="20"/>
                <w:szCs w:val="20"/>
                <w:lang w:val="ka-GE"/>
              </w:rPr>
              <w:t xml:space="preserve">ოპტიმიზაციაზე. </w:t>
            </w:r>
            <w:r w:rsidR="00820C66" w:rsidRPr="00354895">
              <w:rPr>
                <w:rFonts w:ascii="Sylfaen" w:hAnsi="Sylfaen"/>
                <w:sz w:val="20"/>
                <w:szCs w:val="20"/>
                <w:lang w:val="ka-GE"/>
              </w:rPr>
              <w:t>მუშაობის დასრულებასთან ერთად</w:t>
            </w:r>
            <w:r w:rsidR="00DE0C86" w:rsidRPr="00354895">
              <w:rPr>
                <w:rFonts w:ascii="Sylfaen" w:hAnsi="Sylfaen"/>
                <w:sz w:val="20"/>
                <w:szCs w:val="20"/>
                <w:lang w:val="ka-GE"/>
              </w:rPr>
              <w:t xml:space="preserve"> განხორციელდება </w:t>
            </w:r>
            <w:r w:rsidR="00820C66" w:rsidRPr="00354895">
              <w:rPr>
                <w:rFonts w:ascii="Sylfaen" w:hAnsi="Sylfaen"/>
                <w:sz w:val="20"/>
                <w:szCs w:val="20"/>
                <w:lang w:val="ka-GE"/>
              </w:rPr>
              <w:t xml:space="preserve"> ხედვ</w:t>
            </w:r>
            <w:r w:rsidR="00DE0C86" w:rsidRPr="00354895">
              <w:rPr>
                <w:rFonts w:ascii="Sylfaen" w:hAnsi="Sylfaen"/>
                <w:sz w:val="20"/>
                <w:szCs w:val="20"/>
                <w:lang w:val="ka-GE"/>
              </w:rPr>
              <w:t>ი</w:t>
            </w:r>
            <w:r w:rsidR="00820C66" w:rsidRPr="00354895">
              <w:rPr>
                <w:rFonts w:ascii="Sylfaen" w:hAnsi="Sylfaen"/>
                <w:sz w:val="20"/>
                <w:szCs w:val="20"/>
                <w:lang w:val="ka-GE"/>
              </w:rPr>
              <w:t>ს</w:t>
            </w:r>
            <w:r w:rsidR="00DE0C86" w:rsidRPr="00354895">
              <w:rPr>
                <w:rFonts w:ascii="Sylfaen" w:hAnsi="Sylfaen"/>
                <w:sz w:val="20"/>
                <w:szCs w:val="20"/>
                <w:lang w:val="ka-GE"/>
              </w:rPr>
              <w:t xml:space="preserve"> შემუშავება,</w:t>
            </w:r>
            <w:r w:rsidR="00820C66" w:rsidRPr="00354895">
              <w:rPr>
                <w:rFonts w:ascii="Sylfaen" w:hAnsi="Sylfaen"/>
                <w:sz w:val="20"/>
                <w:szCs w:val="20"/>
                <w:lang w:val="ka-GE"/>
              </w:rPr>
              <w:t xml:space="preserve"> </w:t>
            </w:r>
            <w:r w:rsidR="00DE0C86" w:rsidRPr="00354895">
              <w:rPr>
                <w:rFonts w:ascii="Sylfaen" w:hAnsi="Sylfaen"/>
                <w:sz w:val="20"/>
                <w:szCs w:val="20"/>
                <w:lang w:val="ka-GE"/>
              </w:rPr>
              <w:t xml:space="preserve"> რომლითაც განისაზღვრება </w:t>
            </w:r>
            <w:r w:rsidR="007F4518" w:rsidRPr="00354895">
              <w:rPr>
                <w:rFonts w:ascii="Sylfaen" w:hAnsi="Sylfaen"/>
                <w:sz w:val="20"/>
                <w:szCs w:val="20"/>
                <w:lang w:val="ka-GE"/>
              </w:rPr>
              <w:t xml:space="preserve"> </w:t>
            </w:r>
            <w:r w:rsidR="00820C66" w:rsidRPr="00354895">
              <w:rPr>
                <w:rFonts w:ascii="Sylfaen" w:hAnsi="Sylfaen"/>
                <w:sz w:val="20"/>
                <w:szCs w:val="20"/>
                <w:lang w:val="ka-GE"/>
              </w:rPr>
              <w:t xml:space="preserve"> </w:t>
            </w:r>
            <w:r w:rsidR="00DE0C86" w:rsidRPr="00354895">
              <w:rPr>
                <w:rFonts w:ascii="Sylfaen" w:hAnsi="Sylfaen"/>
                <w:sz w:val="20"/>
                <w:szCs w:val="20"/>
                <w:lang w:val="ka-GE"/>
              </w:rPr>
              <w:t xml:space="preserve">ვალის მართვის </w:t>
            </w:r>
            <w:r w:rsidR="00820C66" w:rsidRPr="00354895">
              <w:rPr>
                <w:rFonts w:ascii="Sylfaen" w:hAnsi="Sylfaen"/>
                <w:sz w:val="20"/>
                <w:szCs w:val="20"/>
                <w:lang w:val="ka-GE"/>
              </w:rPr>
              <w:t xml:space="preserve">სტრატეგიაში </w:t>
            </w:r>
            <w:r w:rsidR="00DE0C86" w:rsidRPr="00354895">
              <w:rPr>
                <w:rFonts w:ascii="Sylfaen" w:hAnsi="Sylfaen"/>
                <w:sz w:val="20"/>
                <w:szCs w:val="20"/>
                <w:lang w:val="ka-GE"/>
              </w:rPr>
              <w:t xml:space="preserve">პორტფელის მომსახურების შეფასების ინდიკატორის </w:t>
            </w:r>
            <w:r w:rsidR="00820C66" w:rsidRPr="00354895">
              <w:rPr>
                <w:rFonts w:ascii="Sylfaen" w:hAnsi="Sylfaen"/>
                <w:sz w:val="20"/>
                <w:szCs w:val="20"/>
                <w:lang w:val="ka-GE"/>
              </w:rPr>
              <w:t>ჩართვ</w:t>
            </w:r>
            <w:r w:rsidR="00DE0C86" w:rsidRPr="00354895">
              <w:rPr>
                <w:rFonts w:ascii="Sylfaen" w:hAnsi="Sylfaen"/>
                <w:sz w:val="20"/>
                <w:szCs w:val="20"/>
                <w:lang w:val="ka-GE"/>
              </w:rPr>
              <w:t>ის მიზანშეწონილობის საკითხი.</w:t>
            </w:r>
          </w:p>
        </w:tc>
      </w:tr>
    </w:tbl>
    <w:p w14:paraId="4F153494" w14:textId="77777777" w:rsidR="00705573" w:rsidRPr="00742134" w:rsidRDefault="00705573" w:rsidP="001A09ED">
      <w:pPr>
        <w:spacing w:line="276" w:lineRule="auto"/>
        <w:jc w:val="both"/>
        <w:rPr>
          <w:rFonts w:ascii="Sylfaen" w:hAnsi="Sylfaen"/>
          <w:sz w:val="20"/>
          <w:szCs w:val="20"/>
        </w:rPr>
      </w:pPr>
    </w:p>
    <w:sectPr w:rsidR="00705573" w:rsidRPr="00742134" w:rsidSect="00E97A04">
      <w:footerReference w:type="default" r:id="rId8"/>
      <w:pgSz w:w="15840" w:h="12240" w:orient="landscape"/>
      <w:pgMar w:top="630" w:right="1440" w:bottom="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9C62D" w14:textId="77777777" w:rsidR="00F93CE2" w:rsidRDefault="00F93CE2" w:rsidP="00705573">
      <w:pPr>
        <w:spacing w:after="0" w:line="240" w:lineRule="auto"/>
      </w:pPr>
      <w:r>
        <w:separator/>
      </w:r>
    </w:p>
  </w:endnote>
  <w:endnote w:type="continuationSeparator" w:id="0">
    <w:p w14:paraId="753B2544" w14:textId="77777777" w:rsidR="00F93CE2" w:rsidRDefault="00F93CE2" w:rsidP="0070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020792"/>
      <w:docPartObj>
        <w:docPartGallery w:val="Page Numbers (Bottom of Page)"/>
        <w:docPartUnique/>
      </w:docPartObj>
    </w:sdtPr>
    <w:sdtEndPr>
      <w:rPr>
        <w:noProof/>
      </w:rPr>
    </w:sdtEndPr>
    <w:sdtContent>
      <w:p w14:paraId="183C5316" w14:textId="0AAD314D" w:rsidR="00E958BB" w:rsidRDefault="00E958BB">
        <w:pPr>
          <w:pStyle w:val="Footer"/>
          <w:jc w:val="right"/>
        </w:pPr>
        <w:r>
          <w:fldChar w:fldCharType="begin"/>
        </w:r>
        <w:r>
          <w:instrText xml:space="preserve"> PAGE   \* MERGEFORMAT </w:instrText>
        </w:r>
        <w:r>
          <w:fldChar w:fldCharType="separate"/>
        </w:r>
        <w:r w:rsidR="00643797">
          <w:rPr>
            <w:noProof/>
          </w:rPr>
          <w:t>2</w:t>
        </w:r>
        <w:r>
          <w:rPr>
            <w:noProof/>
          </w:rPr>
          <w:fldChar w:fldCharType="end"/>
        </w:r>
      </w:p>
    </w:sdtContent>
  </w:sdt>
  <w:p w14:paraId="5D4C2019" w14:textId="77777777" w:rsidR="00572FC6" w:rsidRDefault="0057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0DD71" w14:textId="77777777" w:rsidR="00F93CE2" w:rsidRDefault="00F93CE2" w:rsidP="00705573">
      <w:pPr>
        <w:spacing w:after="0" w:line="240" w:lineRule="auto"/>
      </w:pPr>
      <w:r>
        <w:separator/>
      </w:r>
    </w:p>
  </w:footnote>
  <w:footnote w:type="continuationSeparator" w:id="0">
    <w:p w14:paraId="76B80B8D" w14:textId="77777777" w:rsidR="00F93CE2" w:rsidRDefault="00F93CE2" w:rsidP="0070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B78"/>
    <w:multiLevelType w:val="hybridMultilevel"/>
    <w:tmpl w:val="CE7E4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C2EB6"/>
    <w:multiLevelType w:val="hybridMultilevel"/>
    <w:tmpl w:val="496E8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91D96"/>
    <w:multiLevelType w:val="hybridMultilevel"/>
    <w:tmpl w:val="5096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DE12AD"/>
    <w:multiLevelType w:val="hybridMultilevel"/>
    <w:tmpl w:val="57C6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7498"/>
    <w:multiLevelType w:val="hybridMultilevel"/>
    <w:tmpl w:val="5764F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71B"/>
    <w:multiLevelType w:val="hybridMultilevel"/>
    <w:tmpl w:val="948C3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DE6A07"/>
    <w:multiLevelType w:val="hybridMultilevel"/>
    <w:tmpl w:val="D49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1100B"/>
    <w:multiLevelType w:val="hybridMultilevel"/>
    <w:tmpl w:val="2820A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920E4C"/>
    <w:multiLevelType w:val="hybridMultilevel"/>
    <w:tmpl w:val="42A4E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671755"/>
    <w:multiLevelType w:val="hybridMultilevel"/>
    <w:tmpl w:val="90D82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DA1A38"/>
    <w:multiLevelType w:val="hybridMultilevel"/>
    <w:tmpl w:val="1FF20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A05F2D"/>
    <w:multiLevelType w:val="hybridMultilevel"/>
    <w:tmpl w:val="0592118C"/>
    <w:lvl w:ilvl="0" w:tplc="F25A1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530FE"/>
    <w:multiLevelType w:val="hybridMultilevel"/>
    <w:tmpl w:val="87BC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1581"/>
    <w:multiLevelType w:val="hybridMultilevel"/>
    <w:tmpl w:val="CBD8C960"/>
    <w:lvl w:ilvl="0" w:tplc="6B7CE3EE">
      <w:start w:val="2024"/>
      <w:numFmt w:val="bullet"/>
      <w:lvlText w:val="-"/>
      <w:lvlJc w:val="left"/>
      <w:pPr>
        <w:ind w:left="405" w:hanging="360"/>
      </w:pPr>
      <w:rPr>
        <w:rFonts w:ascii="Sylfaen" w:eastAsiaTheme="minorHAnsi" w:hAnsi="Sylfaen"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73662B7"/>
    <w:multiLevelType w:val="hybridMultilevel"/>
    <w:tmpl w:val="8290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5CE1"/>
    <w:multiLevelType w:val="hybridMultilevel"/>
    <w:tmpl w:val="F104B89E"/>
    <w:lvl w:ilvl="0" w:tplc="1AC8C4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3B5847"/>
    <w:multiLevelType w:val="hybridMultilevel"/>
    <w:tmpl w:val="E01C45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FA14B1E"/>
    <w:multiLevelType w:val="hybridMultilevel"/>
    <w:tmpl w:val="0310B7F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157A09"/>
    <w:multiLevelType w:val="hybridMultilevel"/>
    <w:tmpl w:val="1EA297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9EE6279"/>
    <w:multiLevelType w:val="hybridMultilevel"/>
    <w:tmpl w:val="D152F3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4CE81418"/>
    <w:multiLevelType w:val="hybridMultilevel"/>
    <w:tmpl w:val="386A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55512"/>
    <w:multiLevelType w:val="hybridMultilevel"/>
    <w:tmpl w:val="EBEA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F00F82"/>
    <w:multiLevelType w:val="hybridMultilevel"/>
    <w:tmpl w:val="31DAD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780C58"/>
    <w:multiLevelType w:val="hybridMultilevel"/>
    <w:tmpl w:val="8B8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5682B"/>
    <w:multiLevelType w:val="hybridMultilevel"/>
    <w:tmpl w:val="CC0EB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57A4DD2"/>
    <w:multiLevelType w:val="hybridMultilevel"/>
    <w:tmpl w:val="79BE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0015D"/>
    <w:multiLevelType w:val="hybridMultilevel"/>
    <w:tmpl w:val="48C4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04B495C"/>
    <w:multiLevelType w:val="hybridMultilevel"/>
    <w:tmpl w:val="E36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437005"/>
    <w:multiLevelType w:val="hybridMultilevel"/>
    <w:tmpl w:val="8FB0E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8250BC"/>
    <w:multiLevelType w:val="hybridMultilevel"/>
    <w:tmpl w:val="002C110A"/>
    <w:lvl w:ilvl="0" w:tplc="0409000F">
      <w:start w:val="1"/>
      <w:numFmt w:val="decimal"/>
      <w:lvlText w:val="%1."/>
      <w:lvlJc w:val="left"/>
      <w:pPr>
        <w:ind w:left="1313" w:hanging="360"/>
      </w:p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30" w15:restartNumberingAfterBreak="0">
    <w:nsid w:val="72F97875"/>
    <w:multiLevelType w:val="hybridMultilevel"/>
    <w:tmpl w:val="E51AAF00"/>
    <w:lvl w:ilvl="0" w:tplc="1AC8C4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A3D1A"/>
    <w:multiLevelType w:val="hybridMultilevel"/>
    <w:tmpl w:val="C39E02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77652463"/>
    <w:multiLevelType w:val="hybridMultilevel"/>
    <w:tmpl w:val="26E8F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625DA"/>
    <w:multiLevelType w:val="hybridMultilevel"/>
    <w:tmpl w:val="EE2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2C141D"/>
    <w:multiLevelType w:val="hybridMultilevel"/>
    <w:tmpl w:val="945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C00"/>
    <w:multiLevelType w:val="hybridMultilevel"/>
    <w:tmpl w:val="F814A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D87028"/>
    <w:multiLevelType w:val="hybridMultilevel"/>
    <w:tmpl w:val="213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F1EEE"/>
    <w:multiLevelType w:val="hybridMultilevel"/>
    <w:tmpl w:val="788C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425787"/>
    <w:multiLevelType w:val="hybridMultilevel"/>
    <w:tmpl w:val="8E90AD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3"/>
  </w:num>
  <w:num w:numId="2">
    <w:abstractNumId w:val="31"/>
  </w:num>
  <w:num w:numId="3">
    <w:abstractNumId w:val="20"/>
  </w:num>
  <w:num w:numId="4">
    <w:abstractNumId w:val="35"/>
  </w:num>
  <w:num w:numId="5">
    <w:abstractNumId w:val="7"/>
  </w:num>
  <w:num w:numId="6">
    <w:abstractNumId w:val="25"/>
  </w:num>
  <w:num w:numId="7">
    <w:abstractNumId w:val="6"/>
  </w:num>
  <w:num w:numId="8">
    <w:abstractNumId w:val="22"/>
  </w:num>
  <w:num w:numId="9">
    <w:abstractNumId w:val="19"/>
  </w:num>
  <w:num w:numId="10">
    <w:abstractNumId w:val="15"/>
  </w:num>
  <w:num w:numId="11">
    <w:abstractNumId w:val="14"/>
  </w:num>
  <w:num w:numId="12">
    <w:abstractNumId w:val="0"/>
  </w:num>
  <w:num w:numId="13">
    <w:abstractNumId w:val="28"/>
  </w:num>
  <w:num w:numId="14">
    <w:abstractNumId w:val="2"/>
  </w:num>
  <w:num w:numId="15">
    <w:abstractNumId w:val="17"/>
  </w:num>
  <w:num w:numId="16">
    <w:abstractNumId w:val="10"/>
  </w:num>
  <w:num w:numId="17">
    <w:abstractNumId w:val="27"/>
  </w:num>
  <w:num w:numId="18">
    <w:abstractNumId w:val="4"/>
  </w:num>
  <w:num w:numId="19">
    <w:abstractNumId w:val="29"/>
  </w:num>
  <w:num w:numId="20">
    <w:abstractNumId w:val="37"/>
  </w:num>
  <w:num w:numId="21">
    <w:abstractNumId w:val="30"/>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
  </w:num>
  <w:num w:numId="25">
    <w:abstractNumId w:val="18"/>
  </w:num>
  <w:num w:numId="26">
    <w:abstractNumId w:val="16"/>
  </w:num>
  <w:num w:numId="27">
    <w:abstractNumId w:val="33"/>
  </w:num>
  <w:num w:numId="28">
    <w:abstractNumId w:val="38"/>
  </w:num>
  <w:num w:numId="29">
    <w:abstractNumId w:val="1"/>
  </w:num>
  <w:num w:numId="30">
    <w:abstractNumId w:val="11"/>
  </w:num>
  <w:num w:numId="31">
    <w:abstractNumId w:val="5"/>
  </w:num>
  <w:num w:numId="32">
    <w:abstractNumId w:val="8"/>
  </w:num>
  <w:num w:numId="33">
    <w:abstractNumId w:val="9"/>
  </w:num>
  <w:num w:numId="34">
    <w:abstractNumId w:val="36"/>
  </w:num>
  <w:num w:numId="35">
    <w:abstractNumId w:val="32"/>
  </w:num>
  <w:num w:numId="36">
    <w:abstractNumId w:val="24"/>
  </w:num>
  <w:num w:numId="37">
    <w:abstractNumId w:val="21"/>
  </w:num>
  <w:num w:numId="38">
    <w:abstractNumId w:val="12"/>
  </w:num>
  <w:num w:numId="39">
    <w:abstractNumId w:val="3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73"/>
    <w:rsid w:val="00003A37"/>
    <w:rsid w:val="00013097"/>
    <w:rsid w:val="0001610E"/>
    <w:rsid w:val="00017410"/>
    <w:rsid w:val="0001749E"/>
    <w:rsid w:val="00032C7F"/>
    <w:rsid w:val="00035B01"/>
    <w:rsid w:val="00045774"/>
    <w:rsid w:val="00050081"/>
    <w:rsid w:val="00050548"/>
    <w:rsid w:val="00050F16"/>
    <w:rsid w:val="000562E5"/>
    <w:rsid w:val="00061FDF"/>
    <w:rsid w:val="000648E9"/>
    <w:rsid w:val="0006777A"/>
    <w:rsid w:val="000750F8"/>
    <w:rsid w:val="000752A0"/>
    <w:rsid w:val="00077E50"/>
    <w:rsid w:val="00085782"/>
    <w:rsid w:val="000917D1"/>
    <w:rsid w:val="000B1189"/>
    <w:rsid w:val="000B71DE"/>
    <w:rsid w:val="000C444E"/>
    <w:rsid w:val="000D1C97"/>
    <w:rsid w:val="000E0338"/>
    <w:rsid w:val="00101EDE"/>
    <w:rsid w:val="00103885"/>
    <w:rsid w:val="00110074"/>
    <w:rsid w:val="00113741"/>
    <w:rsid w:val="00122AA0"/>
    <w:rsid w:val="00122D9F"/>
    <w:rsid w:val="00124213"/>
    <w:rsid w:val="00140805"/>
    <w:rsid w:val="00143868"/>
    <w:rsid w:val="00143B70"/>
    <w:rsid w:val="0015442A"/>
    <w:rsid w:val="00162140"/>
    <w:rsid w:val="001627E4"/>
    <w:rsid w:val="00165243"/>
    <w:rsid w:val="0016530B"/>
    <w:rsid w:val="00170C09"/>
    <w:rsid w:val="00171601"/>
    <w:rsid w:val="00180E65"/>
    <w:rsid w:val="00181187"/>
    <w:rsid w:val="001940C3"/>
    <w:rsid w:val="001A09ED"/>
    <w:rsid w:val="001A1E57"/>
    <w:rsid w:val="001A4E25"/>
    <w:rsid w:val="001A7579"/>
    <w:rsid w:val="001B1116"/>
    <w:rsid w:val="001B3167"/>
    <w:rsid w:val="001B62AE"/>
    <w:rsid w:val="001B71F1"/>
    <w:rsid w:val="001C3138"/>
    <w:rsid w:val="001C3C69"/>
    <w:rsid w:val="001C6386"/>
    <w:rsid w:val="001D4B5D"/>
    <w:rsid w:val="001E676B"/>
    <w:rsid w:val="001E7961"/>
    <w:rsid w:val="001F043B"/>
    <w:rsid w:val="001F4130"/>
    <w:rsid w:val="0022475A"/>
    <w:rsid w:val="00225579"/>
    <w:rsid w:val="002337EF"/>
    <w:rsid w:val="00234F4A"/>
    <w:rsid w:val="00236486"/>
    <w:rsid w:val="002372B1"/>
    <w:rsid w:val="002423F6"/>
    <w:rsid w:val="00243193"/>
    <w:rsid w:val="002449E8"/>
    <w:rsid w:val="00250DD3"/>
    <w:rsid w:val="002657B6"/>
    <w:rsid w:val="00271B87"/>
    <w:rsid w:val="00274E51"/>
    <w:rsid w:val="00275C50"/>
    <w:rsid w:val="0028333C"/>
    <w:rsid w:val="002836D7"/>
    <w:rsid w:val="0028627C"/>
    <w:rsid w:val="0028670E"/>
    <w:rsid w:val="002966A4"/>
    <w:rsid w:val="002A5332"/>
    <w:rsid w:val="002A5E3E"/>
    <w:rsid w:val="002B046F"/>
    <w:rsid w:val="002B2C24"/>
    <w:rsid w:val="002C3289"/>
    <w:rsid w:val="002C41D6"/>
    <w:rsid w:val="002D2744"/>
    <w:rsid w:val="002D3050"/>
    <w:rsid w:val="002D7472"/>
    <w:rsid w:val="002F27C0"/>
    <w:rsid w:val="002F6841"/>
    <w:rsid w:val="002F6C9A"/>
    <w:rsid w:val="00302B96"/>
    <w:rsid w:val="00306F54"/>
    <w:rsid w:val="00312180"/>
    <w:rsid w:val="00315BE5"/>
    <w:rsid w:val="00322741"/>
    <w:rsid w:val="00332D30"/>
    <w:rsid w:val="00333E48"/>
    <w:rsid w:val="0034423D"/>
    <w:rsid w:val="00354248"/>
    <w:rsid w:val="00354895"/>
    <w:rsid w:val="00355ADB"/>
    <w:rsid w:val="0036433D"/>
    <w:rsid w:val="00364ECF"/>
    <w:rsid w:val="00367FE7"/>
    <w:rsid w:val="00380303"/>
    <w:rsid w:val="00381E20"/>
    <w:rsid w:val="003840D9"/>
    <w:rsid w:val="003930B0"/>
    <w:rsid w:val="0039546F"/>
    <w:rsid w:val="003A528F"/>
    <w:rsid w:val="003B0E78"/>
    <w:rsid w:val="003B2AB3"/>
    <w:rsid w:val="003B54D1"/>
    <w:rsid w:val="003D201E"/>
    <w:rsid w:val="003E30D6"/>
    <w:rsid w:val="003E4AA7"/>
    <w:rsid w:val="003E6406"/>
    <w:rsid w:val="003F48BF"/>
    <w:rsid w:val="00404FC6"/>
    <w:rsid w:val="004131B0"/>
    <w:rsid w:val="00413518"/>
    <w:rsid w:val="00425730"/>
    <w:rsid w:val="004304F3"/>
    <w:rsid w:val="004338D7"/>
    <w:rsid w:val="004425B3"/>
    <w:rsid w:val="00450A25"/>
    <w:rsid w:val="00454521"/>
    <w:rsid w:val="0045534C"/>
    <w:rsid w:val="004631E7"/>
    <w:rsid w:val="0046591E"/>
    <w:rsid w:val="004713B7"/>
    <w:rsid w:val="004915E8"/>
    <w:rsid w:val="004947DB"/>
    <w:rsid w:val="004A156B"/>
    <w:rsid w:val="004C1B94"/>
    <w:rsid w:val="004D39DD"/>
    <w:rsid w:val="004D46B2"/>
    <w:rsid w:val="004D554C"/>
    <w:rsid w:val="004D6838"/>
    <w:rsid w:val="004D683D"/>
    <w:rsid w:val="004E740B"/>
    <w:rsid w:val="004F18DA"/>
    <w:rsid w:val="004F50EC"/>
    <w:rsid w:val="004F57C3"/>
    <w:rsid w:val="004F605E"/>
    <w:rsid w:val="004F60FF"/>
    <w:rsid w:val="004F7546"/>
    <w:rsid w:val="005054CB"/>
    <w:rsid w:val="00505B34"/>
    <w:rsid w:val="0052326E"/>
    <w:rsid w:val="0056262D"/>
    <w:rsid w:val="005630B6"/>
    <w:rsid w:val="00565139"/>
    <w:rsid w:val="00566FCF"/>
    <w:rsid w:val="00567C01"/>
    <w:rsid w:val="00572FC6"/>
    <w:rsid w:val="00586FBD"/>
    <w:rsid w:val="00591535"/>
    <w:rsid w:val="00597F34"/>
    <w:rsid w:val="005A2088"/>
    <w:rsid w:val="005B0AA1"/>
    <w:rsid w:val="005C3CB5"/>
    <w:rsid w:val="005C47F1"/>
    <w:rsid w:val="005C78DB"/>
    <w:rsid w:val="005E1CFC"/>
    <w:rsid w:val="005E4990"/>
    <w:rsid w:val="005E6061"/>
    <w:rsid w:val="006008D4"/>
    <w:rsid w:val="0061026F"/>
    <w:rsid w:val="00614F40"/>
    <w:rsid w:val="00625504"/>
    <w:rsid w:val="00632529"/>
    <w:rsid w:val="00635DE5"/>
    <w:rsid w:val="00640ADD"/>
    <w:rsid w:val="00643797"/>
    <w:rsid w:val="0064745F"/>
    <w:rsid w:val="00662BA2"/>
    <w:rsid w:val="00665F94"/>
    <w:rsid w:val="00667561"/>
    <w:rsid w:val="00675BB8"/>
    <w:rsid w:val="00676787"/>
    <w:rsid w:val="006855A1"/>
    <w:rsid w:val="006A1697"/>
    <w:rsid w:val="006A2C85"/>
    <w:rsid w:val="006A598A"/>
    <w:rsid w:val="006B048A"/>
    <w:rsid w:val="006B661B"/>
    <w:rsid w:val="006C12F7"/>
    <w:rsid w:val="006C2451"/>
    <w:rsid w:val="006D7C88"/>
    <w:rsid w:val="006E24B3"/>
    <w:rsid w:val="006E37DB"/>
    <w:rsid w:val="00705573"/>
    <w:rsid w:val="007056B4"/>
    <w:rsid w:val="0070722C"/>
    <w:rsid w:val="007073EC"/>
    <w:rsid w:val="0071440F"/>
    <w:rsid w:val="00720009"/>
    <w:rsid w:val="007219CC"/>
    <w:rsid w:val="00730CE8"/>
    <w:rsid w:val="007351C6"/>
    <w:rsid w:val="00742134"/>
    <w:rsid w:val="007543AA"/>
    <w:rsid w:val="00755F8D"/>
    <w:rsid w:val="00756459"/>
    <w:rsid w:val="00764B24"/>
    <w:rsid w:val="00765AB6"/>
    <w:rsid w:val="00770444"/>
    <w:rsid w:val="007722D9"/>
    <w:rsid w:val="00777CC9"/>
    <w:rsid w:val="00782F29"/>
    <w:rsid w:val="00787C3B"/>
    <w:rsid w:val="0079128F"/>
    <w:rsid w:val="007A06D6"/>
    <w:rsid w:val="007A43D0"/>
    <w:rsid w:val="007A5915"/>
    <w:rsid w:val="007A6A83"/>
    <w:rsid w:val="007C4C29"/>
    <w:rsid w:val="007C5DCC"/>
    <w:rsid w:val="007C6DA8"/>
    <w:rsid w:val="007D447A"/>
    <w:rsid w:val="007E618E"/>
    <w:rsid w:val="007F2F64"/>
    <w:rsid w:val="007F4518"/>
    <w:rsid w:val="008003FC"/>
    <w:rsid w:val="008026B9"/>
    <w:rsid w:val="008075F9"/>
    <w:rsid w:val="00817FC0"/>
    <w:rsid w:val="00820C66"/>
    <w:rsid w:val="00825062"/>
    <w:rsid w:val="00835FD6"/>
    <w:rsid w:val="008421B5"/>
    <w:rsid w:val="0085119C"/>
    <w:rsid w:val="0086087A"/>
    <w:rsid w:val="0086194D"/>
    <w:rsid w:val="00866539"/>
    <w:rsid w:val="00870C59"/>
    <w:rsid w:val="00871D39"/>
    <w:rsid w:val="00872D57"/>
    <w:rsid w:val="00873C03"/>
    <w:rsid w:val="00886FA6"/>
    <w:rsid w:val="008963BA"/>
    <w:rsid w:val="008A0FFB"/>
    <w:rsid w:val="008A18CA"/>
    <w:rsid w:val="008A2244"/>
    <w:rsid w:val="008A24AA"/>
    <w:rsid w:val="008A3EBF"/>
    <w:rsid w:val="008A660B"/>
    <w:rsid w:val="008B0F39"/>
    <w:rsid w:val="008B27C7"/>
    <w:rsid w:val="008B31C3"/>
    <w:rsid w:val="008C16B0"/>
    <w:rsid w:val="008C184F"/>
    <w:rsid w:val="008C21A3"/>
    <w:rsid w:val="008C6E72"/>
    <w:rsid w:val="008D3385"/>
    <w:rsid w:val="008F0DC4"/>
    <w:rsid w:val="008F32BE"/>
    <w:rsid w:val="008F4992"/>
    <w:rsid w:val="00902447"/>
    <w:rsid w:val="00905614"/>
    <w:rsid w:val="00907BE0"/>
    <w:rsid w:val="009108A6"/>
    <w:rsid w:val="009162BB"/>
    <w:rsid w:val="009172E4"/>
    <w:rsid w:val="00924B09"/>
    <w:rsid w:val="0092694D"/>
    <w:rsid w:val="009354DF"/>
    <w:rsid w:val="00955912"/>
    <w:rsid w:val="00955B51"/>
    <w:rsid w:val="00957078"/>
    <w:rsid w:val="009624D5"/>
    <w:rsid w:val="00967D11"/>
    <w:rsid w:val="00992F5E"/>
    <w:rsid w:val="009A2C24"/>
    <w:rsid w:val="009A7398"/>
    <w:rsid w:val="009B0054"/>
    <w:rsid w:val="009B36EF"/>
    <w:rsid w:val="009B376F"/>
    <w:rsid w:val="009B59DC"/>
    <w:rsid w:val="009C2479"/>
    <w:rsid w:val="009D37C7"/>
    <w:rsid w:val="009D517E"/>
    <w:rsid w:val="009D521F"/>
    <w:rsid w:val="009E5551"/>
    <w:rsid w:val="009F51AD"/>
    <w:rsid w:val="00A0776D"/>
    <w:rsid w:val="00A1117D"/>
    <w:rsid w:val="00A228EC"/>
    <w:rsid w:val="00A34846"/>
    <w:rsid w:val="00A36854"/>
    <w:rsid w:val="00A37378"/>
    <w:rsid w:val="00A42210"/>
    <w:rsid w:val="00A47703"/>
    <w:rsid w:val="00A522A0"/>
    <w:rsid w:val="00A610CB"/>
    <w:rsid w:val="00A6680E"/>
    <w:rsid w:val="00A67C18"/>
    <w:rsid w:val="00A70167"/>
    <w:rsid w:val="00A718DC"/>
    <w:rsid w:val="00A77D98"/>
    <w:rsid w:val="00A83301"/>
    <w:rsid w:val="00A9106F"/>
    <w:rsid w:val="00AB0540"/>
    <w:rsid w:val="00AB0623"/>
    <w:rsid w:val="00AB2DFE"/>
    <w:rsid w:val="00AC4DD6"/>
    <w:rsid w:val="00AD10E5"/>
    <w:rsid w:val="00AD46E4"/>
    <w:rsid w:val="00AD521D"/>
    <w:rsid w:val="00AE0A1B"/>
    <w:rsid w:val="00AE1AFD"/>
    <w:rsid w:val="00AE3B5D"/>
    <w:rsid w:val="00AF295B"/>
    <w:rsid w:val="00AF647D"/>
    <w:rsid w:val="00AF6663"/>
    <w:rsid w:val="00AF71DD"/>
    <w:rsid w:val="00B00336"/>
    <w:rsid w:val="00B00FF9"/>
    <w:rsid w:val="00B03E35"/>
    <w:rsid w:val="00B0704F"/>
    <w:rsid w:val="00B11DB3"/>
    <w:rsid w:val="00B1420C"/>
    <w:rsid w:val="00B2028B"/>
    <w:rsid w:val="00B23E7C"/>
    <w:rsid w:val="00B2684B"/>
    <w:rsid w:val="00B32C98"/>
    <w:rsid w:val="00B36CBE"/>
    <w:rsid w:val="00B501C1"/>
    <w:rsid w:val="00B5121A"/>
    <w:rsid w:val="00B514E4"/>
    <w:rsid w:val="00B6115E"/>
    <w:rsid w:val="00B6243E"/>
    <w:rsid w:val="00B63E19"/>
    <w:rsid w:val="00B64DCD"/>
    <w:rsid w:val="00B70470"/>
    <w:rsid w:val="00B71056"/>
    <w:rsid w:val="00B82563"/>
    <w:rsid w:val="00B84D5E"/>
    <w:rsid w:val="00B91384"/>
    <w:rsid w:val="00BB191D"/>
    <w:rsid w:val="00BB7D06"/>
    <w:rsid w:val="00BC1A06"/>
    <w:rsid w:val="00BD0F50"/>
    <w:rsid w:val="00BD1F8F"/>
    <w:rsid w:val="00BE2EC1"/>
    <w:rsid w:val="00BE7E58"/>
    <w:rsid w:val="00BF191E"/>
    <w:rsid w:val="00BF36CB"/>
    <w:rsid w:val="00BF519C"/>
    <w:rsid w:val="00BF59A3"/>
    <w:rsid w:val="00C00C08"/>
    <w:rsid w:val="00C04736"/>
    <w:rsid w:val="00C06534"/>
    <w:rsid w:val="00C25DEE"/>
    <w:rsid w:val="00C31EDF"/>
    <w:rsid w:val="00C34A54"/>
    <w:rsid w:val="00C35E15"/>
    <w:rsid w:val="00C370E3"/>
    <w:rsid w:val="00C40213"/>
    <w:rsid w:val="00C4407B"/>
    <w:rsid w:val="00C512BF"/>
    <w:rsid w:val="00C51CBD"/>
    <w:rsid w:val="00C536FC"/>
    <w:rsid w:val="00C6256A"/>
    <w:rsid w:val="00C738E6"/>
    <w:rsid w:val="00C86B1B"/>
    <w:rsid w:val="00C92319"/>
    <w:rsid w:val="00C95772"/>
    <w:rsid w:val="00CB0CDA"/>
    <w:rsid w:val="00CB5130"/>
    <w:rsid w:val="00CB7D01"/>
    <w:rsid w:val="00CC07DF"/>
    <w:rsid w:val="00CC254F"/>
    <w:rsid w:val="00CE0B64"/>
    <w:rsid w:val="00CE4E85"/>
    <w:rsid w:val="00CF0078"/>
    <w:rsid w:val="00CF4485"/>
    <w:rsid w:val="00CF66A7"/>
    <w:rsid w:val="00D0097A"/>
    <w:rsid w:val="00D072C9"/>
    <w:rsid w:val="00D126E1"/>
    <w:rsid w:val="00D24499"/>
    <w:rsid w:val="00D364D7"/>
    <w:rsid w:val="00D405CE"/>
    <w:rsid w:val="00D57762"/>
    <w:rsid w:val="00D6162C"/>
    <w:rsid w:val="00D62738"/>
    <w:rsid w:val="00D62F54"/>
    <w:rsid w:val="00D632BD"/>
    <w:rsid w:val="00D63605"/>
    <w:rsid w:val="00D9087C"/>
    <w:rsid w:val="00D9319A"/>
    <w:rsid w:val="00D96057"/>
    <w:rsid w:val="00DA2C34"/>
    <w:rsid w:val="00DA67E2"/>
    <w:rsid w:val="00DB5CDD"/>
    <w:rsid w:val="00DB7DD6"/>
    <w:rsid w:val="00DC2395"/>
    <w:rsid w:val="00DD157F"/>
    <w:rsid w:val="00DE0C86"/>
    <w:rsid w:val="00DE0E65"/>
    <w:rsid w:val="00DE2235"/>
    <w:rsid w:val="00DE6F33"/>
    <w:rsid w:val="00DF072F"/>
    <w:rsid w:val="00DF1DED"/>
    <w:rsid w:val="00DF36AE"/>
    <w:rsid w:val="00DF63B7"/>
    <w:rsid w:val="00E0163D"/>
    <w:rsid w:val="00E02E07"/>
    <w:rsid w:val="00E033DA"/>
    <w:rsid w:val="00E03B97"/>
    <w:rsid w:val="00E16224"/>
    <w:rsid w:val="00E30E51"/>
    <w:rsid w:val="00E33BB7"/>
    <w:rsid w:val="00E40308"/>
    <w:rsid w:val="00E409E6"/>
    <w:rsid w:val="00E53D91"/>
    <w:rsid w:val="00E570FD"/>
    <w:rsid w:val="00E62358"/>
    <w:rsid w:val="00E64FB3"/>
    <w:rsid w:val="00E666AE"/>
    <w:rsid w:val="00E66CC8"/>
    <w:rsid w:val="00E702D9"/>
    <w:rsid w:val="00E92656"/>
    <w:rsid w:val="00E958BB"/>
    <w:rsid w:val="00E95FB2"/>
    <w:rsid w:val="00E96E6A"/>
    <w:rsid w:val="00E9700F"/>
    <w:rsid w:val="00E97A04"/>
    <w:rsid w:val="00EA4F3C"/>
    <w:rsid w:val="00EA7D4D"/>
    <w:rsid w:val="00EB5DD6"/>
    <w:rsid w:val="00EB6D17"/>
    <w:rsid w:val="00EC2CCD"/>
    <w:rsid w:val="00EC42FA"/>
    <w:rsid w:val="00EC4514"/>
    <w:rsid w:val="00EC7CA1"/>
    <w:rsid w:val="00ED068E"/>
    <w:rsid w:val="00ED63B4"/>
    <w:rsid w:val="00EE6E9D"/>
    <w:rsid w:val="00EF5C3F"/>
    <w:rsid w:val="00F101D7"/>
    <w:rsid w:val="00F1585A"/>
    <w:rsid w:val="00F26803"/>
    <w:rsid w:val="00F30624"/>
    <w:rsid w:val="00F35F52"/>
    <w:rsid w:val="00F44287"/>
    <w:rsid w:val="00F45DF9"/>
    <w:rsid w:val="00F471DA"/>
    <w:rsid w:val="00F473E3"/>
    <w:rsid w:val="00F51518"/>
    <w:rsid w:val="00F60FA1"/>
    <w:rsid w:val="00F62F69"/>
    <w:rsid w:val="00F6596D"/>
    <w:rsid w:val="00F71C77"/>
    <w:rsid w:val="00F747B6"/>
    <w:rsid w:val="00F8437D"/>
    <w:rsid w:val="00F86582"/>
    <w:rsid w:val="00F907C6"/>
    <w:rsid w:val="00F920BE"/>
    <w:rsid w:val="00F93CE2"/>
    <w:rsid w:val="00FA451F"/>
    <w:rsid w:val="00FA5434"/>
    <w:rsid w:val="00FA7B83"/>
    <w:rsid w:val="00FB739A"/>
    <w:rsid w:val="00FC1156"/>
    <w:rsid w:val="00FC308C"/>
    <w:rsid w:val="00FC7E43"/>
    <w:rsid w:val="00FD0B82"/>
    <w:rsid w:val="00FD2210"/>
    <w:rsid w:val="00FD4A16"/>
    <w:rsid w:val="00FE0120"/>
    <w:rsid w:val="00FF1B88"/>
    <w:rsid w:val="00FF35BB"/>
    <w:rsid w:val="00FF42D1"/>
    <w:rsid w:val="00FF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27C4E"/>
  <w15:docId w15:val="{92D40B9A-B1E5-4171-A05D-4A079747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8A"/>
  </w:style>
  <w:style w:type="paragraph" w:styleId="Heading1">
    <w:name w:val="heading 1"/>
    <w:basedOn w:val="Normal"/>
    <w:next w:val="Normal"/>
    <w:link w:val="Heading1Char"/>
    <w:uiPriority w:val="9"/>
    <w:qFormat/>
    <w:rsid w:val="00CE4E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4E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73"/>
    <w:rPr>
      <w:rFonts w:ascii="Segoe UI" w:hAnsi="Segoe UI" w:cs="Segoe UI"/>
      <w:sz w:val="18"/>
      <w:szCs w:val="18"/>
    </w:rPr>
  </w:style>
  <w:style w:type="table" w:styleId="TableGrid">
    <w:name w:val="Table Grid"/>
    <w:basedOn w:val="TableNormal"/>
    <w:uiPriority w:val="39"/>
    <w:rsid w:val="0070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05573"/>
    <w:pPr>
      <w:spacing w:after="200" w:line="276" w:lineRule="auto"/>
      <w:ind w:left="720"/>
      <w:contextualSpacing/>
    </w:pPr>
  </w:style>
  <w:style w:type="character" w:styleId="FootnoteReference">
    <w:name w:val="footnote reference"/>
    <w:basedOn w:val="DefaultParagraphFont"/>
    <w:uiPriority w:val="99"/>
    <w:unhideWhenUsed/>
    <w:rsid w:val="00705573"/>
    <w:rPr>
      <w:vertAlign w:val="superscript"/>
    </w:rPr>
  </w:style>
  <w:style w:type="paragraph" w:styleId="CommentText">
    <w:name w:val="annotation text"/>
    <w:basedOn w:val="Normal"/>
    <w:link w:val="CommentTextChar"/>
    <w:uiPriority w:val="99"/>
    <w:unhideWhenUsed/>
    <w:rsid w:val="00CC254F"/>
    <w:pPr>
      <w:spacing w:after="200" w:line="240" w:lineRule="auto"/>
    </w:pPr>
    <w:rPr>
      <w:sz w:val="20"/>
      <w:szCs w:val="20"/>
    </w:rPr>
  </w:style>
  <w:style w:type="character" w:customStyle="1" w:styleId="CommentTextChar">
    <w:name w:val="Comment Text Char"/>
    <w:basedOn w:val="DefaultParagraphFont"/>
    <w:link w:val="CommentText"/>
    <w:uiPriority w:val="99"/>
    <w:rsid w:val="00CC254F"/>
    <w:rPr>
      <w:sz w:val="20"/>
      <w:szCs w:val="20"/>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rsid w:val="00CC254F"/>
    <w:pPr>
      <w:spacing w:after="0" w:line="240" w:lineRule="auto"/>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CC254F"/>
    <w:rPr>
      <w:sz w:val="20"/>
      <w:szCs w:val="20"/>
    </w:rPr>
  </w:style>
  <w:style w:type="paragraph" w:styleId="Header">
    <w:name w:val="header"/>
    <w:basedOn w:val="Normal"/>
    <w:link w:val="HeaderChar"/>
    <w:uiPriority w:val="99"/>
    <w:unhideWhenUsed/>
    <w:rsid w:val="002D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744"/>
  </w:style>
  <w:style w:type="paragraph" w:styleId="Footer">
    <w:name w:val="footer"/>
    <w:basedOn w:val="Normal"/>
    <w:link w:val="FooterChar"/>
    <w:uiPriority w:val="99"/>
    <w:unhideWhenUsed/>
    <w:rsid w:val="002D2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44"/>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70722C"/>
  </w:style>
  <w:style w:type="character" w:styleId="CommentReference">
    <w:name w:val="annotation reference"/>
    <w:basedOn w:val="DefaultParagraphFont"/>
    <w:uiPriority w:val="99"/>
    <w:unhideWhenUsed/>
    <w:rsid w:val="00AD46E4"/>
    <w:rPr>
      <w:sz w:val="16"/>
      <w:szCs w:val="16"/>
    </w:rPr>
  </w:style>
  <w:style w:type="paragraph" w:styleId="CommentSubject">
    <w:name w:val="annotation subject"/>
    <w:basedOn w:val="CommentText"/>
    <w:next w:val="CommentText"/>
    <w:link w:val="CommentSubjectChar"/>
    <w:uiPriority w:val="99"/>
    <w:semiHidden/>
    <w:unhideWhenUsed/>
    <w:rsid w:val="00AD46E4"/>
    <w:pPr>
      <w:spacing w:after="160"/>
    </w:pPr>
    <w:rPr>
      <w:b/>
      <w:bCs/>
    </w:rPr>
  </w:style>
  <w:style w:type="character" w:customStyle="1" w:styleId="CommentSubjectChar">
    <w:name w:val="Comment Subject Char"/>
    <w:basedOn w:val="CommentTextChar"/>
    <w:link w:val="CommentSubject"/>
    <w:uiPriority w:val="99"/>
    <w:semiHidden/>
    <w:rsid w:val="00AD46E4"/>
    <w:rPr>
      <w:b/>
      <w:bCs/>
      <w:sz w:val="20"/>
      <w:szCs w:val="20"/>
    </w:rPr>
  </w:style>
  <w:style w:type="table" w:styleId="LightShading-Accent1">
    <w:name w:val="Light Shading Accent 1"/>
    <w:basedOn w:val="TableNormal"/>
    <w:uiPriority w:val="60"/>
    <w:rsid w:val="00364EC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2Char">
    <w:name w:val="Heading 2 Char"/>
    <w:basedOn w:val="DefaultParagraphFont"/>
    <w:link w:val="Heading2"/>
    <w:uiPriority w:val="9"/>
    <w:rsid w:val="00CE4E8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E4E85"/>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782F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2F29"/>
    <w:rPr>
      <w:rFonts w:ascii="Calibri" w:hAnsi="Calibri"/>
      <w:szCs w:val="21"/>
    </w:rPr>
  </w:style>
  <w:style w:type="paragraph" w:styleId="NoSpacing">
    <w:name w:val="No Spacing"/>
    <w:uiPriority w:val="1"/>
    <w:qFormat/>
    <w:rsid w:val="00B23E7C"/>
    <w:pPr>
      <w:spacing w:after="0" w:line="240" w:lineRule="auto"/>
    </w:pPr>
  </w:style>
  <w:style w:type="character" w:styleId="Hyperlink">
    <w:name w:val="Hyperlink"/>
    <w:basedOn w:val="DefaultParagraphFont"/>
    <w:uiPriority w:val="99"/>
    <w:unhideWhenUsed/>
    <w:rsid w:val="00665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1059">
      <w:bodyDiv w:val="1"/>
      <w:marLeft w:val="0"/>
      <w:marRight w:val="0"/>
      <w:marTop w:val="0"/>
      <w:marBottom w:val="0"/>
      <w:divBdr>
        <w:top w:val="none" w:sz="0" w:space="0" w:color="auto"/>
        <w:left w:val="none" w:sz="0" w:space="0" w:color="auto"/>
        <w:bottom w:val="none" w:sz="0" w:space="0" w:color="auto"/>
        <w:right w:val="none" w:sz="0" w:space="0" w:color="auto"/>
      </w:divBdr>
    </w:div>
    <w:div w:id="251669737">
      <w:bodyDiv w:val="1"/>
      <w:marLeft w:val="0"/>
      <w:marRight w:val="0"/>
      <w:marTop w:val="0"/>
      <w:marBottom w:val="0"/>
      <w:divBdr>
        <w:top w:val="none" w:sz="0" w:space="0" w:color="auto"/>
        <w:left w:val="none" w:sz="0" w:space="0" w:color="auto"/>
        <w:bottom w:val="none" w:sz="0" w:space="0" w:color="auto"/>
        <w:right w:val="none" w:sz="0" w:space="0" w:color="auto"/>
      </w:divBdr>
    </w:div>
    <w:div w:id="322243372">
      <w:bodyDiv w:val="1"/>
      <w:marLeft w:val="0"/>
      <w:marRight w:val="0"/>
      <w:marTop w:val="0"/>
      <w:marBottom w:val="0"/>
      <w:divBdr>
        <w:top w:val="none" w:sz="0" w:space="0" w:color="auto"/>
        <w:left w:val="none" w:sz="0" w:space="0" w:color="auto"/>
        <w:bottom w:val="none" w:sz="0" w:space="0" w:color="auto"/>
        <w:right w:val="none" w:sz="0" w:space="0" w:color="auto"/>
      </w:divBdr>
    </w:div>
    <w:div w:id="698896069">
      <w:bodyDiv w:val="1"/>
      <w:marLeft w:val="0"/>
      <w:marRight w:val="0"/>
      <w:marTop w:val="0"/>
      <w:marBottom w:val="0"/>
      <w:divBdr>
        <w:top w:val="none" w:sz="0" w:space="0" w:color="auto"/>
        <w:left w:val="none" w:sz="0" w:space="0" w:color="auto"/>
        <w:bottom w:val="none" w:sz="0" w:space="0" w:color="auto"/>
        <w:right w:val="none" w:sz="0" w:space="0" w:color="auto"/>
      </w:divBdr>
    </w:div>
    <w:div w:id="884828452">
      <w:bodyDiv w:val="1"/>
      <w:marLeft w:val="0"/>
      <w:marRight w:val="0"/>
      <w:marTop w:val="0"/>
      <w:marBottom w:val="0"/>
      <w:divBdr>
        <w:top w:val="none" w:sz="0" w:space="0" w:color="auto"/>
        <w:left w:val="none" w:sz="0" w:space="0" w:color="auto"/>
        <w:bottom w:val="none" w:sz="0" w:space="0" w:color="auto"/>
        <w:right w:val="none" w:sz="0" w:space="0" w:color="auto"/>
      </w:divBdr>
    </w:div>
    <w:div w:id="936133008">
      <w:bodyDiv w:val="1"/>
      <w:marLeft w:val="0"/>
      <w:marRight w:val="0"/>
      <w:marTop w:val="0"/>
      <w:marBottom w:val="0"/>
      <w:divBdr>
        <w:top w:val="none" w:sz="0" w:space="0" w:color="auto"/>
        <w:left w:val="none" w:sz="0" w:space="0" w:color="auto"/>
        <w:bottom w:val="none" w:sz="0" w:space="0" w:color="auto"/>
        <w:right w:val="none" w:sz="0" w:space="0" w:color="auto"/>
      </w:divBdr>
    </w:div>
    <w:div w:id="1105148169">
      <w:bodyDiv w:val="1"/>
      <w:marLeft w:val="0"/>
      <w:marRight w:val="0"/>
      <w:marTop w:val="0"/>
      <w:marBottom w:val="0"/>
      <w:divBdr>
        <w:top w:val="none" w:sz="0" w:space="0" w:color="auto"/>
        <w:left w:val="none" w:sz="0" w:space="0" w:color="auto"/>
        <w:bottom w:val="none" w:sz="0" w:space="0" w:color="auto"/>
        <w:right w:val="none" w:sz="0" w:space="0" w:color="auto"/>
      </w:divBdr>
    </w:div>
    <w:div w:id="1129513223">
      <w:bodyDiv w:val="1"/>
      <w:marLeft w:val="0"/>
      <w:marRight w:val="0"/>
      <w:marTop w:val="0"/>
      <w:marBottom w:val="0"/>
      <w:divBdr>
        <w:top w:val="none" w:sz="0" w:space="0" w:color="auto"/>
        <w:left w:val="none" w:sz="0" w:space="0" w:color="auto"/>
        <w:bottom w:val="none" w:sz="0" w:space="0" w:color="auto"/>
        <w:right w:val="none" w:sz="0" w:space="0" w:color="auto"/>
      </w:divBdr>
    </w:div>
    <w:div w:id="1136335251">
      <w:bodyDiv w:val="1"/>
      <w:marLeft w:val="0"/>
      <w:marRight w:val="0"/>
      <w:marTop w:val="0"/>
      <w:marBottom w:val="0"/>
      <w:divBdr>
        <w:top w:val="none" w:sz="0" w:space="0" w:color="auto"/>
        <w:left w:val="none" w:sz="0" w:space="0" w:color="auto"/>
        <w:bottom w:val="none" w:sz="0" w:space="0" w:color="auto"/>
        <w:right w:val="none" w:sz="0" w:space="0" w:color="auto"/>
      </w:divBdr>
    </w:div>
    <w:div w:id="1233348918">
      <w:bodyDiv w:val="1"/>
      <w:marLeft w:val="0"/>
      <w:marRight w:val="0"/>
      <w:marTop w:val="0"/>
      <w:marBottom w:val="0"/>
      <w:divBdr>
        <w:top w:val="none" w:sz="0" w:space="0" w:color="auto"/>
        <w:left w:val="none" w:sz="0" w:space="0" w:color="auto"/>
        <w:bottom w:val="none" w:sz="0" w:space="0" w:color="auto"/>
        <w:right w:val="none" w:sz="0" w:space="0" w:color="auto"/>
      </w:divBdr>
    </w:div>
    <w:div w:id="1264344049">
      <w:bodyDiv w:val="1"/>
      <w:marLeft w:val="0"/>
      <w:marRight w:val="0"/>
      <w:marTop w:val="0"/>
      <w:marBottom w:val="0"/>
      <w:divBdr>
        <w:top w:val="none" w:sz="0" w:space="0" w:color="auto"/>
        <w:left w:val="none" w:sz="0" w:space="0" w:color="auto"/>
        <w:bottom w:val="none" w:sz="0" w:space="0" w:color="auto"/>
        <w:right w:val="none" w:sz="0" w:space="0" w:color="auto"/>
      </w:divBdr>
    </w:div>
    <w:div w:id="1423987046">
      <w:bodyDiv w:val="1"/>
      <w:marLeft w:val="0"/>
      <w:marRight w:val="0"/>
      <w:marTop w:val="0"/>
      <w:marBottom w:val="0"/>
      <w:divBdr>
        <w:top w:val="none" w:sz="0" w:space="0" w:color="auto"/>
        <w:left w:val="none" w:sz="0" w:space="0" w:color="auto"/>
        <w:bottom w:val="none" w:sz="0" w:space="0" w:color="auto"/>
        <w:right w:val="none" w:sz="0" w:space="0" w:color="auto"/>
      </w:divBdr>
    </w:div>
    <w:div w:id="1439984777">
      <w:bodyDiv w:val="1"/>
      <w:marLeft w:val="0"/>
      <w:marRight w:val="0"/>
      <w:marTop w:val="0"/>
      <w:marBottom w:val="0"/>
      <w:divBdr>
        <w:top w:val="none" w:sz="0" w:space="0" w:color="auto"/>
        <w:left w:val="none" w:sz="0" w:space="0" w:color="auto"/>
        <w:bottom w:val="none" w:sz="0" w:space="0" w:color="auto"/>
        <w:right w:val="none" w:sz="0" w:space="0" w:color="auto"/>
      </w:divBdr>
    </w:div>
    <w:div w:id="1510868494">
      <w:bodyDiv w:val="1"/>
      <w:marLeft w:val="0"/>
      <w:marRight w:val="0"/>
      <w:marTop w:val="0"/>
      <w:marBottom w:val="0"/>
      <w:divBdr>
        <w:top w:val="none" w:sz="0" w:space="0" w:color="auto"/>
        <w:left w:val="none" w:sz="0" w:space="0" w:color="auto"/>
        <w:bottom w:val="none" w:sz="0" w:space="0" w:color="auto"/>
        <w:right w:val="none" w:sz="0" w:space="0" w:color="auto"/>
      </w:divBdr>
    </w:div>
    <w:div w:id="1699239303">
      <w:bodyDiv w:val="1"/>
      <w:marLeft w:val="0"/>
      <w:marRight w:val="0"/>
      <w:marTop w:val="0"/>
      <w:marBottom w:val="0"/>
      <w:divBdr>
        <w:top w:val="none" w:sz="0" w:space="0" w:color="auto"/>
        <w:left w:val="none" w:sz="0" w:space="0" w:color="auto"/>
        <w:bottom w:val="none" w:sz="0" w:space="0" w:color="auto"/>
        <w:right w:val="none" w:sz="0" w:space="0" w:color="auto"/>
      </w:divBdr>
    </w:div>
    <w:div w:id="1726829471">
      <w:bodyDiv w:val="1"/>
      <w:marLeft w:val="0"/>
      <w:marRight w:val="0"/>
      <w:marTop w:val="0"/>
      <w:marBottom w:val="0"/>
      <w:divBdr>
        <w:top w:val="none" w:sz="0" w:space="0" w:color="auto"/>
        <w:left w:val="none" w:sz="0" w:space="0" w:color="auto"/>
        <w:bottom w:val="none" w:sz="0" w:space="0" w:color="auto"/>
        <w:right w:val="none" w:sz="0" w:space="0" w:color="auto"/>
      </w:divBdr>
    </w:div>
    <w:div w:id="1799687510">
      <w:bodyDiv w:val="1"/>
      <w:marLeft w:val="0"/>
      <w:marRight w:val="0"/>
      <w:marTop w:val="0"/>
      <w:marBottom w:val="0"/>
      <w:divBdr>
        <w:top w:val="none" w:sz="0" w:space="0" w:color="auto"/>
        <w:left w:val="none" w:sz="0" w:space="0" w:color="auto"/>
        <w:bottom w:val="none" w:sz="0" w:space="0" w:color="auto"/>
        <w:right w:val="none" w:sz="0" w:space="0" w:color="auto"/>
      </w:divBdr>
    </w:div>
    <w:div w:id="1816607313">
      <w:bodyDiv w:val="1"/>
      <w:marLeft w:val="0"/>
      <w:marRight w:val="0"/>
      <w:marTop w:val="0"/>
      <w:marBottom w:val="0"/>
      <w:divBdr>
        <w:top w:val="none" w:sz="0" w:space="0" w:color="auto"/>
        <w:left w:val="none" w:sz="0" w:space="0" w:color="auto"/>
        <w:bottom w:val="none" w:sz="0" w:space="0" w:color="auto"/>
        <w:right w:val="none" w:sz="0" w:space="0" w:color="auto"/>
      </w:divBdr>
    </w:div>
    <w:div w:id="20221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90CB7-020A-4D69-A9DF-62826A20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Gulua</dc:creator>
  <cp:lastModifiedBy>Natia Gulua</cp:lastModifiedBy>
  <cp:revision>2</cp:revision>
  <cp:lastPrinted>2024-03-27T10:37:00Z</cp:lastPrinted>
  <dcterms:created xsi:type="dcterms:W3CDTF">2024-03-28T09:02:00Z</dcterms:created>
  <dcterms:modified xsi:type="dcterms:W3CDTF">2024-03-28T09:02:00Z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484f93b3da7b360b7324e3e133ad90eb3522f4c32586a2a2958e6065b9b37cab</vt:lpwstr>
  </property>
</Properties>
</file>